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F8B89" w14:textId="77777777" w:rsidR="00892990" w:rsidRPr="00892990" w:rsidRDefault="00892990" w:rsidP="00892990">
      <w:pPr>
        <w:spacing w:after="0" w:line="240" w:lineRule="auto"/>
        <w:ind w:left="660"/>
        <w:rPr>
          <w:rFonts w:ascii="Myriad Pro" w:eastAsia="MS Mincho" w:hAnsi="Myriad Pro" w:cs="Times New Roman"/>
          <w:kern w:val="0"/>
          <w:sz w:val="22"/>
          <w:szCs w:val="22"/>
          <w:lang w:val="en-GB"/>
          <w14:ligatures w14:val="none"/>
        </w:rPr>
      </w:pPr>
    </w:p>
    <w:p w14:paraId="7668E327" w14:textId="77777777" w:rsidR="00892990" w:rsidRPr="00892990" w:rsidRDefault="00892990" w:rsidP="00892990">
      <w:pPr>
        <w:spacing w:after="0" w:line="240" w:lineRule="auto"/>
        <w:ind w:left="660"/>
        <w:rPr>
          <w:rFonts w:ascii="Myriad Pro" w:eastAsia="MS Mincho" w:hAnsi="Myriad Pro" w:cs="Times New Roman"/>
          <w:kern w:val="0"/>
          <w:sz w:val="22"/>
          <w:szCs w:val="22"/>
          <w:lang w:val="en-GB"/>
          <w14:ligatures w14:val="none"/>
        </w:rPr>
      </w:pPr>
    </w:p>
    <w:p w14:paraId="30DF4DF3" w14:textId="77777777" w:rsidR="00892990" w:rsidRPr="00892990" w:rsidRDefault="00892990" w:rsidP="00892990">
      <w:pPr>
        <w:spacing w:after="0" w:line="240" w:lineRule="auto"/>
        <w:ind w:left="660"/>
        <w:rPr>
          <w:rFonts w:ascii="Myriad Pro" w:eastAsia="MS Mincho" w:hAnsi="Myriad Pro" w:cs="Times New Roman"/>
          <w:kern w:val="0"/>
          <w:sz w:val="22"/>
          <w:szCs w:val="22"/>
          <w:lang w:val="en-GB"/>
          <w14:ligatures w14:val="none"/>
        </w:rPr>
      </w:pPr>
    </w:p>
    <w:p w14:paraId="4EAF96C0" w14:textId="77777777" w:rsidR="00892990" w:rsidRPr="00892990" w:rsidRDefault="00892990" w:rsidP="00892990">
      <w:pPr>
        <w:spacing w:after="0" w:line="276" w:lineRule="auto"/>
        <w:jc w:val="center"/>
        <w:rPr>
          <w:rFonts w:ascii="Calibri" w:eastAsia="MS Mincho" w:hAnsi="Calibri" w:cs="Arial"/>
          <w:b/>
          <w:smallCaps/>
          <w:kern w:val="0"/>
          <w:sz w:val="28"/>
          <w:szCs w:val="28"/>
          <w:lang w:val="en-GB" w:eastAsia="en-GB"/>
          <w14:ligatures w14:val="none"/>
        </w:rPr>
      </w:pPr>
    </w:p>
    <w:sdt>
      <w:sdtPr>
        <w:rPr>
          <w:rFonts w:ascii="Calibri" w:eastAsia="MS Mincho" w:hAnsi="Calibri" w:cs="Arial"/>
          <w:b/>
          <w:smallCaps/>
          <w:kern w:val="0"/>
          <w:sz w:val="52"/>
          <w:szCs w:val="52"/>
          <w:lang w:val="en-GB" w:eastAsia="en-GB"/>
          <w14:ligatures w14:val="none"/>
        </w:rPr>
        <w:alias w:val="Choose report type"/>
        <w:tag w:val="Choose report type"/>
        <w:id w:val="1050890550"/>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EndPr/>
      <w:sdtContent>
        <w:p w14:paraId="41371187" w14:textId="215C923E" w:rsidR="00892990" w:rsidRPr="00892990" w:rsidRDefault="00A45250" w:rsidP="00892990">
          <w:pPr>
            <w:spacing w:after="0" w:line="276" w:lineRule="auto"/>
            <w:jc w:val="center"/>
            <w:rPr>
              <w:rFonts w:ascii="Calibri" w:eastAsia="MS Mincho" w:hAnsi="Calibri" w:cs="Arial"/>
              <w:b/>
              <w:smallCaps/>
              <w:kern w:val="0"/>
              <w:sz w:val="52"/>
              <w:szCs w:val="52"/>
              <w:lang w:val="en-GB" w:eastAsia="en-GB"/>
              <w14:ligatures w14:val="none"/>
            </w:rPr>
          </w:pPr>
          <w:r>
            <w:rPr>
              <w:rFonts w:ascii="Calibri" w:eastAsia="MS Mincho" w:hAnsi="Calibri" w:cs="Arial"/>
              <w:b/>
              <w:smallCaps/>
              <w:kern w:val="0"/>
              <w:sz w:val="52"/>
              <w:szCs w:val="52"/>
              <w:lang w:val="en-GB" w:eastAsia="en-GB"/>
              <w14:ligatures w14:val="none"/>
            </w:rPr>
            <w:t>Progress Report</w:t>
          </w:r>
        </w:p>
      </w:sdtContent>
    </w:sdt>
    <w:p w14:paraId="78A83058" w14:textId="77777777" w:rsidR="00892990" w:rsidRPr="00892990" w:rsidRDefault="00892990" w:rsidP="00892990">
      <w:pPr>
        <w:spacing w:after="0" w:line="276" w:lineRule="auto"/>
        <w:jc w:val="center"/>
        <w:rPr>
          <w:rFonts w:ascii="Calibri" w:eastAsia="MS Mincho" w:hAnsi="Calibri" w:cs="Arial"/>
          <w:b/>
          <w:kern w:val="0"/>
          <w:sz w:val="28"/>
          <w:szCs w:val="28"/>
          <w:lang w:val="en-GB" w:eastAsia="en-GB"/>
          <w14:ligatures w14:val="none"/>
        </w:rPr>
      </w:pPr>
    </w:p>
    <w:p w14:paraId="6753AB09" w14:textId="77777777" w:rsidR="00892990" w:rsidRPr="00892990" w:rsidRDefault="00892990" w:rsidP="00892990">
      <w:pPr>
        <w:spacing w:after="0" w:line="276" w:lineRule="auto"/>
        <w:rPr>
          <w:rFonts w:ascii="Calibri" w:eastAsia="MS Mincho" w:hAnsi="Calibri" w:cs="Arial"/>
          <w:kern w:val="0"/>
          <w:sz w:val="28"/>
          <w:szCs w:val="28"/>
          <w:lang w:val="en-GB" w:eastAsia="en-GB"/>
          <w14:ligatures w14:val="none"/>
        </w:rPr>
      </w:pPr>
    </w:p>
    <w:p w14:paraId="0FD556E8" w14:textId="77777777" w:rsidR="00892990" w:rsidRPr="00892990" w:rsidRDefault="00892990" w:rsidP="00892990">
      <w:pPr>
        <w:spacing w:after="0" w:line="240" w:lineRule="auto"/>
        <w:ind w:left="660"/>
        <w:rPr>
          <w:rFonts w:ascii="Myriad Pro" w:eastAsia="MS Mincho" w:hAnsi="Myriad Pro" w:cs="Times New Roman"/>
          <w:b/>
          <w:kern w:val="0"/>
          <w:sz w:val="28"/>
          <w:szCs w:val="28"/>
          <w:lang w:val="en-GB"/>
          <w14:ligatures w14:val="none"/>
        </w:rPr>
      </w:pPr>
      <w:bookmarkStart w:id="0" w:name="_Toc153888542"/>
      <w:bookmarkStart w:id="1" w:name="_Toc153888630"/>
      <w:bookmarkStart w:id="2" w:name="_Toc154140520"/>
      <w:bookmarkStart w:id="3" w:name="_Toc154140575"/>
      <w:r w:rsidRPr="00892990">
        <w:rPr>
          <w:rFonts w:ascii="Myriad Pro" w:eastAsia="MS Mincho" w:hAnsi="Myriad Pro" w:cs="Times New Roman"/>
          <w:b/>
          <w:kern w:val="0"/>
          <w:sz w:val="28"/>
          <w:szCs w:val="28"/>
          <w:lang w:val="en-GB"/>
          <w14:ligatures w14:val="none"/>
        </w:rPr>
        <w:t>United Nations Development Programme</w:t>
      </w:r>
      <w:bookmarkEnd w:id="0"/>
      <w:bookmarkEnd w:id="1"/>
      <w:bookmarkEnd w:id="2"/>
      <w:bookmarkEnd w:id="3"/>
    </w:p>
    <w:p w14:paraId="0673C592" w14:textId="20BD2562" w:rsidR="00892990" w:rsidRPr="00892990" w:rsidRDefault="00AB4277" w:rsidP="00892990">
      <w:pPr>
        <w:spacing w:after="0" w:line="240" w:lineRule="auto"/>
        <w:ind w:left="660"/>
        <w:rPr>
          <w:rFonts w:ascii="Myriad Pro" w:eastAsia="MS Mincho" w:hAnsi="Myriad Pro" w:cs="Times New Roman"/>
          <w:b/>
          <w:kern w:val="0"/>
          <w:sz w:val="28"/>
          <w:szCs w:val="28"/>
          <w:lang w:val="en-GB"/>
          <w14:ligatures w14:val="none"/>
        </w:rPr>
      </w:pPr>
      <w:bookmarkStart w:id="4" w:name="_Toc153888544"/>
      <w:bookmarkStart w:id="5" w:name="_Toc153888632"/>
      <w:bookmarkStart w:id="6" w:name="_Toc154140522"/>
      <w:bookmarkStart w:id="7" w:name="_Toc154140577"/>
      <w:r>
        <w:rPr>
          <w:rFonts w:ascii="Myriad Pro" w:eastAsia="MS Mincho" w:hAnsi="Myriad Pro" w:cs="Times New Roman"/>
          <w:b/>
          <w:kern w:val="0"/>
          <w:sz w:val="28"/>
          <w:szCs w:val="28"/>
          <w:lang w:val="en-GB"/>
          <w14:ligatures w14:val="none"/>
        </w:rPr>
        <w:t>Bhutan</w:t>
      </w:r>
    </w:p>
    <w:bookmarkEnd w:id="4"/>
    <w:bookmarkEnd w:id="5"/>
    <w:bookmarkEnd w:id="6"/>
    <w:bookmarkEnd w:id="7"/>
    <w:p w14:paraId="226F29DD" w14:textId="18C6F40A" w:rsidR="00892990" w:rsidRPr="00892990" w:rsidRDefault="0062209F" w:rsidP="00892990">
      <w:pPr>
        <w:spacing w:after="0" w:line="240" w:lineRule="auto"/>
        <w:ind w:left="660"/>
        <w:rPr>
          <w:rFonts w:ascii="Myriad Pro" w:eastAsia="MS Mincho" w:hAnsi="Myriad Pro" w:cs="Times New Roman"/>
          <w:b/>
          <w:kern w:val="0"/>
          <w:sz w:val="28"/>
          <w:szCs w:val="28"/>
          <w:lang w:val="en-GB"/>
          <w14:ligatures w14:val="none"/>
        </w:rPr>
      </w:pPr>
      <w:r w:rsidRPr="00BF554A">
        <w:rPr>
          <w:rFonts w:ascii="Times New Roman" w:hAnsi="Times New Roman"/>
          <w:bCs/>
          <w:iCs/>
          <w:szCs w:val="22"/>
        </w:rPr>
        <w:t>HCFC Phase-out Management Plan for Bhutan – UNDP Component: [</w:t>
      </w:r>
      <w:r w:rsidRPr="00BF554A">
        <w:rPr>
          <w:rFonts w:ascii="Times New Roman" w:hAnsi="Times New Roman"/>
          <w:szCs w:val="22"/>
        </w:rPr>
        <w:t>BHU/PHA/63/INV/17]</w:t>
      </w:r>
    </w:p>
    <w:p w14:paraId="1DA5C320" w14:textId="0C142349" w:rsidR="00892990" w:rsidRPr="00892990" w:rsidRDefault="0062209F" w:rsidP="00892990">
      <w:pPr>
        <w:spacing w:after="0" w:line="240" w:lineRule="auto"/>
        <w:ind w:left="660"/>
        <w:rPr>
          <w:rFonts w:ascii="Myriad Pro" w:eastAsia="MS Mincho" w:hAnsi="Myriad Pro" w:cs="Times New Roman"/>
          <w:b/>
          <w:kern w:val="0"/>
          <w:sz w:val="28"/>
          <w:szCs w:val="28"/>
          <w:lang w:val="en-GB"/>
          <w14:ligatures w14:val="none"/>
        </w:rPr>
      </w:pPr>
      <w:bookmarkStart w:id="8" w:name="_Toc178596899"/>
      <w:bookmarkStart w:id="9" w:name="_Toc178597050"/>
      <w:bookmarkStart w:id="10" w:name="_Toc178598556"/>
      <w:bookmarkStart w:id="11" w:name="_Toc178670260"/>
      <w:bookmarkStart w:id="12" w:name="_Toc178670317"/>
      <w:bookmarkStart w:id="13" w:name="_Toc178675983"/>
      <w:r>
        <w:rPr>
          <w:rFonts w:ascii="Myriad Pro" w:eastAsia="MS Mincho" w:hAnsi="Myriad Pro" w:cs="Times New Roman"/>
          <w:b/>
          <w:kern w:val="0"/>
          <w:sz w:val="28"/>
          <w:szCs w:val="28"/>
          <w:lang w:val="en-GB"/>
          <w14:ligatures w14:val="none"/>
        </w:rPr>
        <w:t>2025</w:t>
      </w:r>
    </w:p>
    <w:p w14:paraId="7B3B732B" w14:textId="77777777" w:rsidR="00892990" w:rsidRPr="00892990" w:rsidRDefault="00892990" w:rsidP="00892990">
      <w:pPr>
        <w:spacing w:after="0" w:line="240" w:lineRule="auto"/>
        <w:ind w:left="660"/>
        <w:rPr>
          <w:rFonts w:ascii="Myriad Pro" w:eastAsia="MS Mincho" w:hAnsi="Myriad Pro" w:cs="Times New Roman"/>
          <w:b/>
          <w:kern w:val="0"/>
          <w:sz w:val="28"/>
          <w:szCs w:val="28"/>
          <w:lang w:val="en-GB"/>
          <w14:ligatures w14:val="none"/>
        </w:rPr>
      </w:pPr>
    </w:p>
    <w:p w14:paraId="32BE42F1" w14:textId="77777777" w:rsidR="00892990" w:rsidRPr="00892990" w:rsidRDefault="00892990" w:rsidP="00892990">
      <w:pPr>
        <w:spacing w:after="0" w:line="240" w:lineRule="auto"/>
        <w:ind w:left="660"/>
        <w:rPr>
          <w:rFonts w:ascii="Myriad Pro" w:eastAsia="MS Mincho" w:hAnsi="Myriad Pro" w:cs="Times New Roman"/>
          <w:b/>
          <w:kern w:val="0"/>
          <w:sz w:val="28"/>
          <w:szCs w:val="28"/>
          <w:lang w:val="en-GB"/>
          <w14:ligatures w14:val="none"/>
        </w:rPr>
      </w:pPr>
    </w:p>
    <w:p w14:paraId="48B78886" w14:textId="7C1205EC" w:rsidR="00892990" w:rsidRPr="00892990" w:rsidRDefault="00892990" w:rsidP="006E3B25">
      <w:pPr>
        <w:spacing w:after="0" w:line="240" w:lineRule="auto"/>
        <w:ind w:left="660"/>
        <w:rPr>
          <w:rFonts w:ascii="Myriad Pro" w:eastAsia="MS Mincho" w:hAnsi="Myriad Pro" w:cs="Times New Roman"/>
          <w:b/>
          <w:kern w:val="0"/>
          <w:sz w:val="28"/>
          <w:szCs w:val="28"/>
          <w:lang w:val="en-GB"/>
          <w14:ligatures w14:val="none"/>
        </w:rPr>
        <w:sectPr w:rsidR="00892990" w:rsidRPr="00892990" w:rsidSect="00892990">
          <w:headerReference w:type="default" r:id="rId7"/>
          <w:footerReference w:type="default" r:id="rId8"/>
          <w:pgSz w:w="11906" w:h="16838" w:code="9"/>
          <w:pgMar w:top="1418" w:right="1418" w:bottom="1134" w:left="1418" w:header="680" w:footer="454" w:gutter="0"/>
          <w:pgNumType w:start="1"/>
          <w:cols w:space="708"/>
          <w:docGrid w:linePitch="360"/>
        </w:sectPr>
      </w:pPr>
      <w:r w:rsidRPr="00892990">
        <w:rPr>
          <w:rFonts w:ascii="Myriad Pro" w:eastAsia="MS Mincho" w:hAnsi="Myriad Pro" w:cs="Times New Roman"/>
          <w:b/>
          <w:noProof/>
          <w:kern w:val="0"/>
          <w:sz w:val="28"/>
          <w:szCs w:val="28"/>
          <w14:ligatures w14:val="none"/>
        </w:rPr>
        <mc:AlternateContent>
          <mc:Choice Requires="wps">
            <w:drawing>
              <wp:anchor distT="0" distB="0" distL="114300" distR="114300" simplePos="0" relativeHeight="251661312" behindDoc="0" locked="0" layoutInCell="1" allowOverlap="1" wp14:anchorId="38CAF1EA" wp14:editId="5CAF71EE">
                <wp:simplePos x="0" y="0"/>
                <wp:positionH relativeFrom="column">
                  <wp:posOffset>501650</wp:posOffset>
                </wp:positionH>
                <wp:positionV relativeFrom="paragraph">
                  <wp:posOffset>179705</wp:posOffset>
                </wp:positionV>
                <wp:extent cx="4640580" cy="2865120"/>
                <wp:effectExtent l="0" t="0" r="26670" b="11430"/>
                <wp:wrapNone/>
                <wp:docPr id="7" name="Text Box 7"/>
                <wp:cNvGraphicFramePr/>
                <a:graphic xmlns:a="http://schemas.openxmlformats.org/drawingml/2006/main">
                  <a:graphicData uri="http://schemas.microsoft.com/office/word/2010/wordprocessingShape">
                    <wps:wsp>
                      <wps:cNvSpPr txBox="1"/>
                      <wps:spPr>
                        <a:xfrm>
                          <a:off x="0" y="0"/>
                          <a:ext cx="4640580" cy="2865120"/>
                        </a:xfrm>
                        <a:prstGeom prst="rect">
                          <a:avLst/>
                        </a:prstGeom>
                        <a:solidFill>
                          <a:sysClr val="window" lastClr="FFFFFF"/>
                        </a:solidFill>
                        <a:ln w="6350">
                          <a:solidFill>
                            <a:prstClr val="black"/>
                          </a:solidFill>
                        </a:ln>
                        <a:effectLst/>
                      </wps:spPr>
                      <wps:txbx>
                        <w:txbxContent>
                          <w:p w14:paraId="6A4D8984" w14:textId="3572A705" w:rsidR="009711E0" w:rsidRPr="009711E0" w:rsidRDefault="009711E0" w:rsidP="009711E0">
                            <w:pPr>
                              <w:jc w:val="center"/>
                              <w:rPr>
                                <w:rFonts w:ascii="Myriad Pro" w:eastAsia="MS Mincho" w:hAnsi="Myriad Pro" w:cs="Arial"/>
                                <w:color w:val="A6A6A6"/>
                              </w:rPr>
                            </w:pPr>
                            <w:r w:rsidRPr="009711E0">
                              <w:rPr>
                                <w:rFonts w:ascii="Myriad Pro" w:eastAsia="MS Mincho" w:hAnsi="Myriad Pro" w:cs="Arial"/>
                                <w:noProof/>
                                <w:color w:val="A6A6A6"/>
                              </w:rPr>
                              <w:drawing>
                                <wp:inline distT="0" distB="0" distL="0" distR="0" wp14:anchorId="2A17B37D" wp14:editId="0C65B8E3">
                                  <wp:extent cx="3689985" cy="2767330"/>
                                  <wp:effectExtent l="0" t="0" r="5715" b="0"/>
                                  <wp:docPr id="5837397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9985" cy="2767330"/>
                                          </a:xfrm>
                                          <a:prstGeom prst="rect">
                                            <a:avLst/>
                                          </a:prstGeom>
                                          <a:noFill/>
                                          <a:ln>
                                            <a:noFill/>
                                          </a:ln>
                                        </pic:spPr>
                                      </pic:pic>
                                    </a:graphicData>
                                  </a:graphic>
                                </wp:inline>
                              </w:drawing>
                            </w:r>
                          </w:p>
                          <w:p w14:paraId="2DC7C3B7" w14:textId="0212E63F" w:rsidR="00892990" w:rsidRPr="00892990" w:rsidRDefault="00892990" w:rsidP="00892990">
                            <w:pPr>
                              <w:rPr>
                                <w:rFonts w:ascii="Myriad Pro" w:eastAsia="MS Mincho" w:hAnsi="Myriad Pro" w:cs="Arial"/>
                                <w:color w:val="A6A6A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8CAF1EA" id="_x0000_t202" coordsize="21600,21600" o:spt="202" path="m,l,21600r21600,l21600,xe">
                <v:stroke joinstyle="miter"/>
                <v:path gradientshapeok="t" o:connecttype="rect"/>
              </v:shapetype>
              <v:shape id="Text Box 7" o:spid="_x0000_s1026" type="#_x0000_t202" style="position:absolute;left:0;text-align:left;margin-left:39.5pt;margin-top:14.15pt;width:365.4pt;height:225.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" fillcolor="window" strokeweight=".5pt">
                <v:textbox>
                  <w:txbxContent>
                    <w:p w14:paraId="6A4D8984" w14:textId="3572A705" w:rsidR="009711E0" w:rsidRPr="009711E0" w:rsidRDefault="009711E0" w:rsidP="009711E0">
                      <w:pPr>
                        <w:jc w:val="center"/>
                        <w:rPr>
                          <w:rFonts w:ascii="Myriad Pro" w:eastAsia="MS Mincho" w:hAnsi="Myriad Pro" w:cs="Arial"/>
                          <w:color w:val="A6A6A6"/>
                        </w:rPr>
                      </w:pPr>
                      <w:r w:rsidRPr="009711E0">
                        <w:rPr>
                          <w:rFonts w:ascii="Myriad Pro" w:eastAsia="MS Mincho" w:hAnsi="Myriad Pro" w:cs="Arial"/>
                          <w:noProof/>
                          <w:color w:val="A6A6A6"/>
                        </w:rPr>
                        <w:drawing>
                          <wp:inline distT="0" distB="0" distL="0" distR="0" wp14:anchorId="2A17B37D" wp14:editId="0C65B8E3">
                            <wp:extent cx="3689985" cy="2767330"/>
                            <wp:effectExtent l="0" t="0" r="5715" b="0"/>
                            <wp:docPr id="5837397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9985" cy="2767330"/>
                                    </a:xfrm>
                                    <a:prstGeom prst="rect">
                                      <a:avLst/>
                                    </a:prstGeom>
                                    <a:noFill/>
                                    <a:ln>
                                      <a:noFill/>
                                    </a:ln>
                                  </pic:spPr>
                                </pic:pic>
                              </a:graphicData>
                            </a:graphic>
                          </wp:inline>
                        </w:drawing>
                      </w:r>
                    </w:p>
                    <w:p w14:paraId="2DC7C3B7" w14:textId="0212E63F" w:rsidR="00892990" w:rsidRPr="00892990" w:rsidRDefault="00892990" w:rsidP="00892990">
                      <w:pPr>
                        <w:rPr>
                          <w:rFonts w:ascii="Myriad Pro" w:eastAsia="MS Mincho" w:hAnsi="Myriad Pro" w:cs="Arial"/>
                          <w:color w:val="A6A6A6"/>
                        </w:rPr>
                      </w:pPr>
                    </w:p>
                  </w:txbxContent>
                </v:textbox>
              </v:shape>
            </w:pict>
          </mc:Fallback>
        </mc:AlternateContent>
      </w:r>
    </w:p>
    <w:p w14:paraId="52793958" w14:textId="77777777" w:rsidR="00892990" w:rsidRPr="00C54943" w:rsidRDefault="00892990" w:rsidP="00892990">
      <w:pPr>
        <w:widowControl w:val="0"/>
        <w:tabs>
          <w:tab w:val="left" w:pos="-720"/>
        </w:tabs>
        <w:spacing w:after="0" w:line="276" w:lineRule="auto"/>
        <w:rPr>
          <w:rFonts w:ascii="Calibri" w:eastAsia="MS Mincho" w:hAnsi="Calibri" w:cs="Calibri"/>
          <w:b/>
          <w:kern w:val="0"/>
          <w:sz w:val="20"/>
          <w:szCs w:val="20"/>
          <w:lang w:val="en-GB" w:eastAsia="en-GB"/>
          <w14:ligatures w14:val="none"/>
        </w:rPr>
      </w:pPr>
    </w:p>
    <w:p w14:paraId="0F99BED0" w14:textId="77777777" w:rsidR="00892990" w:rsidRPr="00C54943" w:rsidRDefault="00892990" w:rsidP="00892990">
      <w:pPr>
        <w:widowControl w:val="0"/>
        <w:tabs>
          <w:tab w:val="left" w:pos="-720"/>
        </w:tabs>
        <w:spacing w:after="0" w:line="276" w:lineRule="auto"/>
        <w:rPr>
          <w:rFonts w:ascii="Calibri" w:eastAsia="MS Mincho" w:hAnsi="Calibri" w:cs="Calibri"/>
          <w:b/>
          <w:kern w:val="0"/>
          <w:sz w:val="20"/>
          <w:szCs w:val="20"/>
          <w:lang w:val="en-GB" w:eastAsia="en-GB"/>
          <w14:ligatures w14:val="none"/>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6300"/>
      </w:tblGrid>
      <w:tr w:rsidR="00892990" w:rsidRPr="00C54943" w14:paraId="39DCADA5" w14:textId="77777777" w:rsidTr="005B74ED">
        <w:trPr>
          <w:trHeight w:val="139"/>
        </w:trPr>
        <w:tc>
          <w:tcPr>
            <w:tcW w:w="3168" w:type="dxa"/>
          </w:tcPr>
          <w:p w14:paraId="1839DCE0"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Reporting Period</w:t>
            </w:r>
          </w:p>
        </w:tc>
        <w:tc>
          <w:tcPr>
            <w:tcW w:w="6300" w:type="dxa"/>
          </w:tcPr>
          <w:p w14:paraId="7EDB3066" w14:textId="59B367A0" w:rsidR="00892990" w:rsidRPr="00C54943" w:rsidRDefault="006E3B25"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2025</w:t>
            </w:r>
          </w:p>
        </w:tc>
      </w:tr>
      <w:tr w:rsidR="00892990" w:rsidRPr="00C54943" w14:paraId="3269DA76" w14:textId="77777777" w:rsidTr="005B74ED">
        <w:trPr>
          <w:trHeight w:val="139"/>
        </w:trPr>
        <w:tc>
          <w:tcPr>
            <w:tcW w:w="3168" w:type="dxa"/>
          </w:tcPr>
          <w:p w14:paraId="61FE5EB1"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Donor</w:t>
            </w:r>
          </w:p>
        </w:tc>
        <w:tc>
          <w:tcPr>
            <w:tcW w:w="6300" w:type="dxa"/>
          </w:tcPr>
          <w:p w14:paraId="76839EA3" w14:textId="35F5276B" w:rsidR="00892990" w:rsidRPr="00C54943" w:rsidRDefault="00A034D2"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MLF</w:t>
            </w:r>
          </w:p>
        </w:tc>
      </w:tr>
      <w:tr w:rsidR="00892990" w:rsidRPr="00C54943" w14:paraId="68E6D1A3" w14:textId="77777777" w:rsidTr="005B74ED">
        <w:trPr>
          <w:trHeight w:val="139"/>
        </w:trPr>
        <w:tc>
          <w:tcPr>
            <w:tcW w:w="3168" w:type="dxa"/>
          </w:tcPr>
          <w:p w14:paraId="21EEB577"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 xml:space="preserve">Country </w:t>
            </w:r>
          </w:p>
        </w:tc>
        <w:tc>
          <w:tcPr>
            <w:tcW w:w="6300" w:type="dxa"/>
          </w:tcPr>
          <w:p w14:paraId="5DB44C7A" w14:textId="4F352824" w:rsidR="00892990" w:rsidRPr="00C54943" w:rsidRDefault="006E3B25"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 xml:space="preserve">Bhutan </w:t>
            </w:r>
          </w:p>
        </w:tc>
      </w:tr>
      <w:tr w:rsidR="00892990" w:rsidRPr="00C54943" w14:paraId="288B6F32" w14:textId="77777777" w:rsidTr="005B74ED">
        <w:trPr>
          <w:trHeight w:val="139"/>
        </w:trPr>
        <w:tc>
          <w:tcPr>
            <w:tcW w:w="3168" w:type="dxa"/>
          </w:tcPr>
          <w:p w14:paraId="7A055AF0"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Project Title</w:t>
            </w:r>
          </w:p>
        </w:tc>
        <w:tc>
          <w:tcPr>
            <w:tcW w:w="6300" w:type="dxa"/>
          </w:tcPr>
          <w:p w14:paraId="3A7EABA3" w14:textId="0D02A88B" w:rsidR="00892990" w:rsidRPr="00C54943" w:rsidRDefault="00611E98"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hAnsi="Calibri" w:cs="Calibri"/>
                <w:bCs/>
                <w:iCs/>
                <w:sz w:val="20"/>
                <w:szCs w:val="20"/>
              </w:rPr>
              <w:t>HCFC Phase-out Management Plan for Bhutan – UNDP Component: [</w:t>
            </w:r>
            <w:r w:rsidRPr="00C54943">
              <w:rPr>
                <w:rFonts w:ascii="Calibri" w:hAnsi="Calibri" w:cs="Calibri"/>
                <w:sz w:val="20"/>
                <w:szCs w:val="20"/>
              </w:rPr>
              <w:t>BHU/PHA/63/INV/17]</w:t>
            </w:r>
          </w:p>
        </w:tc>
      </w:tr>
      <w:tr w:rsidR="00892990" w:rsidRPr="00C54943" w14:paraId="3C56472C" w14:textId="77777777" w:rsidTr="005B74ED">
        <w:trPr>
          <w:trHeight w:val="548"/>
        </w:trPr>
        <w:tc>
          <w:tcPr>
            <w:tcW w:w="3168" w:type="dxa"/>
          </w:tcPr>
          <w:p w14:paraId="0835A8FC"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Project ID</w:t>
            </w:r>
          </w:p>
          <w:p w14:paraId="0DA07A88"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(Atlas Award ID)</w:t>
            </w:r>
          </w:p>
          <w:p w14:paraId="6089629C"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proofErr w:type="gramStart"/>
            <w:r w:rsidRPr="00C54943">
              <w:rPr>
                <w:rFonts w:ascii="Calibri" w:eastAsia="MS Mincho" w:hAnsi="Calibri" w:cs="Calibri"/>
                <w:color w:val="000000"/>
                <w:kern w:val="0"/>
                <w:sz w:val="20"/>
                <w:szCs w:val="20"/>
                <w:lang w:eastAsia="ja-JP"/>
                <w14:ligatures w14:val="none"/>
              </w:rPr>
              <w:t>Outputs</w:t>
            </w:r>
            <w:proofErr w:type="gramEnd"/>
          </w:p>
          <w:p w14:paraId="1198E526"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(Atlas Project ID and Description)</w:t>
            </w:r>
          </w:p>
          <w:p w14:paraId="319B9A8D"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Strategic Plan and/or CPD Outcomes</w:t>
            </w:r>
          </w:p>
        </w:tc>
        <w:tc>
          <w:tcPr>
            <w:tcW w:w="6300" w:type="dxa"/>
          </w:tcPr>
          <w:p w14:paraId="3984F275" w14:textId="6DB65068"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 xml:space="preserve"> </w:t>
            </w:r>
            <w:r w:rsidR="006F6F84" w:rsidRPr="00C54943">
              <w:rPr>
                <w:rFonts w:ascii="Calibri" w:hAnsi="Calibri" w:cs="Calibri"/>
                <w:sz w:val="20"/>
                <w:szCs w:val="20"/>
              </w:rPr>
              <w:t>00065284</w:t>
            </w:r>
          </w:p>
        </w:tc>
      </w:tr>
      <w:tr w:rsidR="00892990" w:rsidRPr="00C54943" w14:paraId="1877DB55" w14:textId="77777777" w:rsidTr="005B74ED">
        <w:trPr>
          <w:trHeight w:val="273"/>
        </w:trPr>
        <w:tc>
          <w:tcPr>
            <w:tcW w:w="3168" w:type="dxa"/>
          </w:tcPr>
          <w:p w14:paraId="54F54690"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Implementing Partner(s)</w:t>
            </w:r>
          </w:p>
        </w:tc>
        <w:tc>
          <w:tcPr>
            <w:tcW w:w="6300" w:type="dxa"/>
          </w:tcPr>
          <w:p w14:paraId="60A0EB83" w14:textId="62364E55" w:rsidR="00892990" w:rsidRPr="00C54943" w:rsidRDefault="00955869"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 xml:space="preserve">National Ozone Unit, Department of Environment and Climate Change </w:t>
            </w:r>
          </w:p>
        </w:tc>
      </w:tr>
      <w:tr w:rsidR="00892990" w:rsidRPr="00C54943" w14:paraId="4B68322E" w14:textId="77777777" w:rsidTr="005B74ED">
        <w:trPr>
          <w:trHeight w:val="273"/>
        </w:trPr>
        <w:tc>
          <w:tcPr>
            <w:tcW w:w="3168" w:type="dxa"/>
          </w:tcPr>
          <w:p w14:paraId="4925FE15"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Project Start Date</w:t>
            </w:r>
          </w:p>
        </w:tc>
        <w:tc>
          <w:tcPr>
            <w:tcW w:w="6300" w:type="dxa"/>
          </w:tcPr>
          <w:p w14:paraId="519139EE" w14:textId="549AF0CF" w:rsidR="00892990" w:rsidRPr="00C54943" w:rsidRDefault="00B27D06"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01/01/</w:t>
            </w:r>
            <w:r w:rsidR="003964BB" w:rsidRPr="00C54943">
              <w:rPr>
                <w:rFonts w:ascii="Calibri" w:eastAsia="MS Mincho" w:hAnsi="Calibri" w:cs="Calibri"/>
                <w:color w:val="000000"/>
                <w:kern w:val="0"/>
                <w:sz w:val="20"/>
                <w:szCs w:val="20"/>
                <w:lang w:eastAsia="ja-JP"/>
                <w14:ligatures w14:val="none"/>
              </w:rPr>
              <w:t>2013</w:t>
            </w:r>
          </w:p>
        </w:tc>
      </w:tr>
      <w:tr w:rsidR="00892990" w:rsidRPr="00C54943" w14:paraId="591FBEFD" w14:textId="77777777" w:rsidTr="005B74ED">
        <w:trPr>
          <w:trHeight w:val="273"/>
        </w:trPr>
        <w:tc>
          <w:tcPr>
            <w:tcW w:w="3168" w:type="dxa"/>
          </w:tcPr>
          <w:p w14:paraId="7759FCED"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Project End Date</w:t>
            </w:r>
          </w:p>
        </w:tc>
        <w:tc>
          <w:tcPr>
            <w:tcW w:w="6300" w:type="dxa"/>
          </w:tcPr>
          <w:p w14:paraId="524917B8" w14:textId="2C5066CF" w:rsidR="00892990" w:rsidRPr="00C54943" w:rsidRDefault="00B27D06"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31/12/</w:t>
            </w:r>
            <w:r w:rsidR="003964BB" w:rsidRPr="00C54943">
              <w:rPr>
                <w:rFonts w:ascii="Calibri" w:eastAsia="MS Mincho" w:hAnsi="Calibri" w:cs="Calibri"/>
                <w:color w:val="000000"/>
                <w:kern w:val="0"/>
                <w:sz w:val="20"/>
                <w:szCs w:val="20"/>
                <w:lang w:eastAsia="ja-JP"/>
                <w14:ligatures w14:val="none"/>
              </w:rPr>
              <w:t>2025</w:t>
            </w:r>
          </w:p>
        </w:tc>
      </w:tr>
      <w:tr w:rsidR="00892990" w:rsidRPr="00C54943" w14:paraId="32758280" w14:textId="77777777" w:rsidTr="005B74ED">
        <w:trPr>
          <w:trHeight w:val="139"/>
        </w:trPr>
        <w:tc>
          <w:tcPr>
            <w:tcW w:w="3168" w:type="dxa"/>
          </w:tcPr>
          <w:p w14:paraId="31EEE540" w14:textId="4FD78982"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w:t>
            </w:r>
            <w:r w:rsidR="00A70A4F" w:rsidRPr="00C54943">
              <w:rPr>
                <w:rFonts w:ascii="Calibri" w:eastAsia="MS Mincho" w:hAnsi="Calibri" w:cs="Calibri"/>
                <w:color w:val="000000"/>
                <w:kern w:val="0"/>
                <w:sz w:val="20"/>
                <w:szCs w:val="20"/>
                <w:lang w:eastAsia="ja-JP"/>
                <w14:ligatures w14:val="none"/>
              </w:rPr>
              <w:t>2025</w:t>
            </w:r>
            <w:r w:rsidRPr="00C54943">
              <w:rPr>
                <w:rFonts w:ascii="Calibri" w:eastAsia="MS Mincho" w:hAnsi="Calibri" w:cs="Calibri"/>
                <w:color w:val="000000"/>
                <w:kern w:val="0"/>
                <w:sz w:val="20"/>
                <w:szCs w:val="20"/>
                <w:lang w:eastAsia="ja-JP"/>
                <w14:ligatures w14:val="none"/>
              </w:rPr>
              <w:t xml:space="preserve">] Annual Work Plan Budget </w:t>
            </w:r>
          </w:p>
        </w:tc>
        <w:tc>
          <w:tcPr>
            <w:tcW w:w="6300" w:type="dxa"/>
          </w:tcPr>
          <w:p w14:paraId="34DD8CF6" w14:textId="15D58ACD"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USD</w:t>
            </w:r>
            <w:r w:rsidR="00516104" w:rsidRPr="00C54943">
              <w:rPr>
                <w:rFonts w:ascii="Calibri" w:eastAsia="MS Mincho" w:hAnsi="Calibri" w:cs="Calibri"/>
                <w:color w:val="000000"/>
                <w:kern w:val="0"/>
                <w:sz w:val="20"/>
                <w:szCs w:val="20"/>
                <w:lang w:eastAsia="ja-JP"/>
                <w14:ligatures w14:val="none"/>
              </w:rPr>
              <w:t xml:space="preserve"> 19,000</w:t>
            </w:r>
          </w:p>
        </w:tc>
      </w:tr>
      <w:tr w:rsidR="00892990" w:rsidRPr="00C54943" w14:paraId="1EAFA66C" w14:textId="77777777" w:rsidTr="005B74ED">
        <w:trPr>
          <w:trHeight w:val="139"/>
        </w:trPr>
        <w:tc>
          <w:tcPr>
            <w:tcW w:w="3168" w:type="dxa"/>
          </w:tcPr>
          <w:p w14:paraId="611C26C4"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Total resources required</w:t>
            </w:r>
          </w:p>
        </w:tc>
        <w:tc>
          <w:tcPr>
            <w:tcW w:w="6300" w:type="dxa"/>
          </w:tcPr>
          <w:p w14:paraId="100804DF" w14:textId="069734FA" w:rsidR="00892990" w:rsidRPr="00C54943" w:rsidRDefault="00516104"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19,000</w:t>
            </w:r>
          </w:p>
        </w:tc>
      </w:tr>
      <w:tr w:rsidR="00892990" w:rsidRPr="00C54943" w14:paraId="07D25686" w14:textId="77777777" w:rsidTr="005B74ED">
        <w:trPr>
          <w:trHeight w:val="139"/>
        </w:trPr>
        <w:tc>
          <w:tcPr>
            <w:tcW w:w="3168" w:type="dxa"/>
          </w:tcPr>
          <w:p w14:paraId="539034AE"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Revenue received</w:t>
            </w:r>
          </w:p>
        </w:tc>
        <w:tc>
          <w:tcPr>
            <w:tcW w:w="6300" w:type="dxa"/>
          </w:tcPr>
          <w:p w14:paraId="5E41E0EF" w14:textId="076DB303" w:rsidR="00892990" w:rsidRPr="00C54943" w:rsidRDefault="00892990">
            <w:pPr>
              <w:numPr>
                <w:ilvl w:val="0"/>
                <w:numId w:val="1"/>
              </w:num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Regular</w:t>
            </w:r>
            <w:r w:rsidRPr="00C54943">
              <w:rPr>
                <w:rFonts w:ascii="Calibri" w:eastAsia="MS Mincho" w:hAnsi="Calibri" w:cs="Calibri"/>
                <w:color w:val="000000"/>
                <w:kern w:val="0"/>
                <w:sz w:val="20"/>
                <w:szCs w:val="20"/>
                <w:lang w:eastAsia="ja-JP"/>
                <w14:ligatures w14:val="none"/>
              </w:rPr>
              <w:tab/>
            </w:r>
            <w:r w:rsidRPr="00C54943">
              <w:rPr>
                <w:rFonts w:ascii="Calibri" w:eastAsia="MS Mincho" w:hAnsi="Calibri" w:cs="Calibri"/>
                <w:color w:val="000000"/>
                <w:kern w:val="0"/>
                <w:sz w:val="20"/>
                <w:szCs w:val="20"/>
                <w:lang w:eastAsia="ja-JP"/>
                <w14:ligatures w14:val="none"/>
              </w:rPr>
              <w:tab/>
            </w:r>
            <w:r w:rsidRPr="00C54943">
              <w:rPr>
                <w:rFonts w:ascii="Calibri" w:eastAsia="MS Mincho" w:hAnsi="Calibri" w:cs="Calibri"/>
                <w:color w:val="000000"/>
                <w:kern w:val="0"/>
                <w:sz w:val="20"/>
                <w:szCs w:val="20"/>
                <w:lang w:eastAsia="ja-JP"/>
                <w14:ligatures w14:val="none"/>
              </w:rPr>
              <w:tab/>
            </w:r>
            <w:r w:rsidRPr="00C54943">
              <w:rPr>
                <w:rFonts w:ascii="Calibri" w:eastAsia="MS Mincho" w:hAnsi="Calibri" w:cs="Calibri"/>
                <w:color w:val="000000"/>
                <w:kern w:val="0"/>
                <w:sz w:val="20"/>
                <w:szCs w:val="20"/>
                <w:lang w:eastAsia="ja-JP"/>
                <w14:ligatures w14:val="none"/>
              </w:rPr>
              <w:tab/>
              <w:t xml:space="preserve">   USD</w:t>
            </w:r>
            <w:r w:rsidR="00516104" w:rsidRPr="00C54943">
              <w:rPr>
                <w:rFonts w:ascii="Calibri" w:eastAsia="MS Mincho" w:hAnsi="Calibri" w:cs="Calibri"/>
                <w:color w:val="000000"/>
                <w:kern w:val="0"/>
                <w:sz w:val="20"/>
                <w:szCs w:val="20"/>
                <w:lang w:eastAsia="ja-JP"/>
                <w14:ligatures w14:val="none"/>
              </w:rPr>
              <w:t xml:space="preserve"> 19,000</w:t>
            </w:r>
          </w:p>
          <w:p w14:paraId="205F15FB" w14:textId="77777777" w:rsidR="00892990" w:rsidRPr="00C54943" w:rsidRDefault="00892990">
            <w:pPr>
              <w:numPr>
                <w:ilvl w:val="0"/>
                <w:numId w:val="1"/>
              </w:num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Other</w:t>
            </w:r>
          </w:p>
          <w:p w14:paraId="7ADAF9E6" w14:textId="77777777" w:rsidR="00892990" w:rsidRPr="00C54943" w:rsidRDefault="00892990">
            <w:pPr>
              <w:numPr>
                <w:ilvl w:val="1"/>
                <w:numId w:val="1"/>
              </w:num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Donor</w:t>
            </w:r>
            <w:r w:rsidRPr="00C54943">
              <w:rPr>
                <w:rFonts w:ascii="Calibri" w:eastAsia="MS Mincho" w:hAnsi="Calibri" w:cs="Calibri"/>
                <w:color w:val="000000"/>
                <w:kern w:val="0"/>
                <w:sz w:val="20"/>
                <w:szCs w:val="20"/>
                <w:lang w:eastAsia="ja-JP"/>
                <w14:ligatures w14:val="none"/>
              </w:rPr>
              <w:tab/>
            </w:r>
            <w:r w:rsidRPr="00C54943">
              <w:rPr>
                <w:rFonts w:ascii="Calibri" w:eastAsia="MS Mincho" w:hAnsi="Calibri" w:cs="Calibri"/>
                <w:color w:val="000000"/>
                <w:kern w:val="0"/>
                <w:sz w:val="20"/>
                <w:szCs w:val="20"/>
                <w:lang w:eastAsia="ja-JP"/>
                <w14:ligatures w14:val="none"/>
              </w:rPr>
              <w:tab/>
            </w:r>
            <w:r w:rsidRPr="00C54943">
              <w:rPr>
                <w:rFonts w:ascii="Calibri" w:eastAsia="MS Mincho" w:hAnsi="Calibri" w:cs="Calibri"/>
                <w:color w:val="000000"/>
                <w:kern w:val="0"/>
                <w:sz w:val="20"/>
                <w:szCs w:val="20"/>
                <w:lang w:eastAsia="ja-JP"/>
                <w14:ligatures w14:val="none"/>
              </w:rPr>
              <w:tab/>
              <w:t xml:space="preserve">   USD</w:t>
            </w:r>
          </w:p>
          <w:p w14:paraId="3DB1E3D7" w14:textId="77777777" w:rsidR="00892990" w:rsidRPr="00C54943" w:rsidRDefault="00892990">
            <w:pPr>
              <w:numPr>
                <w:ilvl w:val="1"/>
                <w:numId w:val="1"/>
              </w:num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Trust Fund Cost Sharing</w:t>
            </w:r>
            <w:r w:rsidRPr="00C54943">
              <w:rPr>
                <w:rFonts w:ascii="Calibri" w:eastAsia="MS Mincho" w:hAnsi="Calibri" w:cs="Calibri"/>
                <w:color w:val="000000"/>
                <w:kern w:val="0"/>
                <w:sz w:val="20"/>
                <w:szCs w:val="20"/>
                <w:lang w:eastAsia="ja-JP"/>
                <w14:ligatures w14:val="none"/>
              </w:rPr>
              <w:tab/>
              <w:t xml:space="preserve">   USD</w:t>
            </w:r>
          </w:p>
          <w:p w14:paraId="6C7E8F89" w14:textId="42719558" w:rsidR="00892990" w:rsidRPr="00C54943" w:rsidRDefault="00892990">
            <w:pPr>
              <w:numPr>
                <w:ilvl w:val="1"/>
                <w:numId w:val="1"/>
              </w:num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Thematic Trust Fund C/S     USD</w:t>
            </w:r>
          </w:p>
          <w:p w14:paraId="4E557234" w14:textId="77777777" w:rsidR="00892990" w:rsidRPr="00C54943" w:rsidRDefault="00892990">
            <w:pPr>
              <w:numPr>
                <w:ilvl w:val="1"/>
                <w:numId w:val="1"/>
              </w:num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Special Activities</w:t>
            </w:r>
            <w:r w:rsidRPr="00C54943">
              <w:rPr>
                <w:rFonts w:ascii="Calibri" w:eastAsia="MS Mincho" w:hAnsi="Calibri" w:cs="Calibri"/>
                <w:color w:val="000000"/>
                <w:kern w:val="0"/>
                <w:sz w:val="20"/>
                <w:szCs w:val="20"/>
                <w:lang w:eastAsia="ja-JP"/>
                <w14:ligatures w14:val="none"/>
              </w:rPr>
              <w:tab/>
            </w:r>
            <w:r w:rsidRPr="00C54943">
              <w:rPr>
                <w:rFonts w:ascii="Calibri" w:eastAsia="MS Mincho" w:hAnsi="Calibri" w:cs="Calibri"/>
                <w:color w:val="000000"/>
                <w:kern w:val="0"/>
                <w:sz w:val="20"/>
                <w:szCs w:val="20"/>
                <w:lang w:eastAsia="ja-JP"/>
                <w14:ligatures w14:val="none"/>
              </w:rPr>
              <w:tab/>
              <w:t xml:space="preserve">   USD</w:t>
            </w:r>
          </w:p>
          <w:p w14:paraId="3F0B2369" w14:textId="34EB3BE0" w:rsidR="00892990" w:rsidRPr="00C54943" w:rsidRDefault="00892990">
            <w:pPr>
              <w:numPr>
                <w:ilvl w:val="1"/>
                <w:numId w:val="1"/>
              </w:num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EU funding</w:t>
            </w:r>
            <w:r w:rsidRPr="00C54943">
              <w:rPr>
                <w:rFonts w:ascii="Calibri" w:eastAsia="MS Mincho" w:hAnsi="Calibri" w:cs="Calibri"/>
                <w:color w:val="000000"/>
                <w:kern w:val="0"/>
                <w:sz w:val="20"/>
                <w:szCs w:val="20"/>
                <w:lang w:eastAsia="ja-JP"/>
                <w14:ligatures w14:val="none"/>
              </w:rPr>
              <w:tab/>
            </w:r>
            <w:r w:rsidRPr="00C54943">
              <w:rPr>
                <w:rFonts w:ascii="Calibri" w:eastAsia="MS Mincho" w:hAnsi="Calibri" w:cs="Calibri"/>
                <w:color w:val="000000"/>
                <w:kern w:val="0"/>
                <w:sz w:val="20"/>
                <w:szCs w:val="20"/>
                <w:lang w:eastAsia="ja-JP"/>
                <w14:ligatures w14:val="none"/>
              </w:rPr>
              <w:tab/>
              <w:t xml:space="preserve">               USD</w:t>
            </w:r>
          </w:p>
          <w:p w14:paraId="295A49EA" w14:textId="64175CB4" w:rsidR="00892990" w:rsidRPr="00C54943" w:rsidRDefault="00892990">
            <w:pPr>
              <w:numPr>
                <w:ilvl w:val="0"/>
                <w:numId w:val="1"/>
              </w:num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Total</w:t>
            </w:r>
            <w:r w:rsidRPr="00C54943">
              <w:rPr>
                <w:rFonts w:ascii="Calibri" w:eastAsia="MS Mincho" w:hAnsi="Calibri" w:cs="Calibri"/>
                <w:color w:val="000000"/>
                <w:kern w:val="0"/>
                <w:sz w:val="20"/>
                <w:szCs w:val="20"/>
                <w:lang w:eastAsia="ja-JP"/>
                <w14:ligatures w14:val="none"/>
              </w:rPr>
              <w:tab/>
            </w:r>
            <w:r w:rsidRPr="00C54943">
              <w:rPr>
                <w:rFonts w:ascii="Calibri" w:eastAsia="MS Mincho" w:hAnsi="Calibri" w:cs="Calibri"/>
                <w:color w:val="000000"/>
                <w:kern w:val="0"/>
                <w:sz w:val="20"/>
                <w:szCs w:val="20"/>
                <w:lang w:eastAsia="ja-JP"/>
                <w14:ligatures w14:val="none"/>
              </w:rPr>
              <w:tab/>
            </w:r>
            <w:proofErr w:type="gramStart"/>
            <w:r w:rsidRPr="00C54943">
              <w:rPr>
                <w:rFonts w:ascii="Calibri" w:eastAsia="MS Mincho" w:hAnsi="Calibri" w:cs="Calibri"/>
                <w:color w:val="000000"/>
                <w:kern w:val="0"/>
                <w:sz w:val="20"/>
                <w:szCs w:val="20"/>
                <w:lang w:eastAsia="ja-JP"/>
                <w14:ligatures w14:val="none"/>
              </w:rPr>
              <w:tab/>
              <w:t xml:space="preserve">  </w:t>
            </w:r>
            <w:r w:rsidRPr="00C54943">
              <w:rPr>
                <w:rFonts w:ascii="Calibri" w:eastAsia="MS Mincho" w:hAnsi="Calibri" w:cs="Calibri"/>
                <w:color w:val="000000"/>
                <w:kern w:val="0"/>
                <w:sz w:val="20"/>
                <w:szCs w:val="20"/>
                <w:lang w:eastAsia="ja-JP"/>
                <w14:ligatures w14:val="none"/>
              </w:rPr>
              <w:tab/>
            </w:r>
            <w:proofErr w:type="gramEnd"/>
            <w:r w:rsidRPr="00C54943">
              <w:rPr>
                <w:rFonts w:ascii="Calibri" w:eastAsia="MS Mincho" w:hAnsi="Calibri" w:cs="Calibri"/>
                <w:color w:val="000000"/>
                <w:kern w:val="0"/>
                <w:sz w:val="20"/>
                <w:szCs w:val="20"/>
                <w:lang w:eastAsia="ja-JP"/>
                <w14:ligatures w14:val="none"/>
              </w:rPr>
              <w:t xml:space="preserve">   USD</w:t>
            </w:r>
            <w:r w:rsidR="00516104" w:rsidRPr="00C54943">
              <w:rPr>
                <w:rFonts w:ascii="Calibri" w:eastAsia="MS Mincho" w:hAnsi="Calibri" w:cs="Calibri"/>
                <w:color w:val="000000"/>
                <w:kern w:val="0"/>
                <w:sz w:val="20"/>
                <w:szCs w:val="20"/>
                <w:lang w:eastAsia="ja-JP"/>
                <w14:ligatures w14:val="none"/>
              </w:rPr>
              <w:t xml:space="preserve"> 19,000</w:t>
            </w:r>
          </w:p>
        </w:tc>
      </w:tr>
      <w:tr w:rsidR="00892990" w:rsidRPr="00C54943" w14:paraId="65C40E4D" w14:textId="77777777" w:rsidTr="005B74ED">
        <w:trPr>
          <w:trHeight w:val="139"/>
        </w:trPr>
        <w:tc>
          <w:tcPr>
            <w:tcW w:w="3168" w:type="dxa"/>
          </w:tcPr>
          <w:p w14:paraId="2B4E1538"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Unfunded budget</w:t>
            </w:r>
          </w:p>
        </w:tc>
        <w:tc>
          <w:tcPr>
            <w:tcW w:w="6300" w:type="dxa"/>
          </w:tcPr>
          <w:p w14:paraId="6D90C435"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USD</w:t>
            </w:r>
          </w:p>
        </w:tc>
      </w:tr>
      <w:tr w:rsidR="00892990" w:rsidRPr="00C54943" w14:paraId="0E54223A" w14:textId="77777777" w:rsidTr="005B74ED">
        <w:trPr>
          <w:trHeight w:val="895"/>
        </w:trPr>
        <w:tc>
          <w:tcPr>
            <w:tcW w:w="3168" w:type="dxa"/>
          </w:tcPr>
          <w:p w14:paraId="2D65934A" w14:textId="7777777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 xml:space="preserve">UNDP Contact Person </w:t>
            </w:r>
          </w:p>
        </w:tc>
        <w:tc>
          <w:tcPr>
            <w:tcW w:w="6300" w:type="dxa"/>
          </w:tcPr>
          <w:p w14:paraId="081DA19B" w14:textId="348212E6" w:rsidR="00892990" w:rsidRPr="00C54943" w:rsidRDefault="00D40ADB"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Kunzang Wangmo</w:t>
            </w:r>
          </w:p>
          <w:p w14:paraId="2E0AA267" w14:textId="203D857F" w:rsidR="00D40ADB" w:rsidRPr="00C54943" w:rsidRDefault="00D40ADB"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 xml:space="preserve">Program Analyst </w:t>
            </w:r>
          </w:p>
          <w:p w14:paraId="73CD7AF7" w14:textId="77A4B1A7"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 xml:space="preserve">Email: </w:t>
            </w:r>
            <w:hyperlink r:id="rId10" w:history="1">
              <w:r w:rsidR="00D40ADB" w:rsidRPr="00C54943">
                <w:rPr>
                  <w:rStyle w:val="Hyperlink"/>
                  <w:rFonts w:ascii="Calibri" w:eastAsia="MS Mincho" w:hAnsi="Calibri" w:cs="Calibri"/>
                  <w:kern w:val="0"/>
                  <w:sz w:val="20"/>
                  <w:szCs w:val="20"/>
                  <w:lang w:eastAsia="ja-JP"/>
                  <w14:ligatures w14:val="none"/>
                </w:rPr>
                <w:t>kunzang.wangmo@undp.org</w:t>
              </w:r>
            </w:hyperlink>
            <w:r w:rsidR="00D40ADB" w:rsidRPr="00C54943">
              <w:rPr>
                <w:rFonts w:ascii="Calibri" w:eastAsia="MS Mincho" w:hAnsi="Calibri" w:cs="Calibri"/>
                <w:color w:val="000000"/>
                <w:kern w:val="0"/>
                <w:sz w:val="20"/>
                <w:szCs w:val="20"/>
                <w:lang w:eastAsia="ja-JP"/>
                <w14:ligatures w14:val="none"/>
              </w:rPr>
              <w:t xml:space="preserve"> </w:t>
            </w:r>
          </w:p>
          <w:p w14:paraId="2CF356C2" w14:textId="1AB413E1" w:rsidR="00892990" w:rsidRPr="00C54943" w:rsidRDefault="00892990" w:rsidP="00892990">
            <w:pPr>
              <w:autoSpaceDE w:val="0"/>
              <w:autoSpaceDN w:val="0"/>
              <w:adjustRightInd w:val="0"/>
              <w:spacing w:after="0" w:line="240" w:lineRule="auto"/>
              <w:rPr>
                <w:rFonts w:ascii="Calibri" w:eastAsia="MS Mincho" w:hAnsi="Calibri" w:cs="Calibri"/>
                <w:color w:val="000000"/>
                <w:kern w:val="0"/>
                <w:sz w:val="20"/>
                <w:szCs w:val="20"/>
                <w:lang w:eastAsia="ja-JP"/>
                <w14:ligatures w14:val="none"/>
              </w:rPr>
            </w:pPr>
            <w:r w:rsidRPr="00C54943">
              <w:rPr>
                <w:rFonts w:ascii="Calibri" w:eastAsia="MS Mincho" w:hAnsi="Calibri" w:cs="Calibri"/>
                <w:color w:val="000000"/>
                <w:kern w:val="0"/>
                <w:sz w:val="20"/>
                <w:szCs w:val="20"/>
                <w:lang w:eastAsia="ja-JP"/>
                <w14:ligatures w14:val="none"/>
              </w:rPr>
              <w:t xml:space="preserve">Tel.: </w:t>
            </w:r>
            <w:r w:rsidR="00D40ADB" w:rsidRPr="00C54943">
              <w:rPr>
                <w:rFonts w:ascii="Calibri" w:eastAsia="MS Mincho" w:hAnsi="Calibri" w:cs="Calibri"/>
                <w:color w:val="000000"/>
                <w:kern w:val="0"/>
                <w:sz w:val="20"/>
                <w:szCs w:val="20"/>
                <w:lang w:eastAsia="ja-JP"/>
                <w14:ligatures w14:val="none"/>
              </w:rPr>
              <w:t>97517</w:t>
            </w:r>
            <w:r w:rsidR="00F80F9E" w:rsidRPr="00C54943">
              <w:rPr>
                <w:rFonts w:ascii="Calibri" w:eastAsia="MS Mincho" w:hAnsi="Calibri" w:cs="Calibri"/>
                <w:color w:val="000000"/>
                <w:kern w:val="0"/>
                <w:sz w:val="20"/>
                <w:szCs w:val="20"/>
                <w:lang w:eastAsia="ja-JP"/>
                <w14:ligatures w14:val="none"/>
              </w:rPr>
              <w:t>631069</w:t>
            </w:r>
          </w:p>
        </w:tc>
      </w:tr>
    </w:tbl>
    <w:p w14:paraId="4CB1C510" w14:textId="77777777" w:rsidR="00892990" w:rsidRPr="00C54943" w:rsidRDefault="00892990" w:rsidP="00892990">
      <w:pPr>
        <w:spacing w:after="0" w:line="276" w:lineRule="auto"/>
        <w:rPr>
          <w:rFonts w:ascii="Calibri" w:eastAsia="MS Mincho" w:hAnsi="Calibri" w:cs="Calibri"/>
          <w:b/>
          <w:i/>
          <w:color w:val="000000"/>
          <w:kern w:val="0"/>
          <w:sz w:val="20"/>
          <w:szCs w:val="20"/>
          <w:lang w:val="en-GB" w:eastAsia="en-GB"/>
          <w14:ligatures w14:val="none"/>
        </w:rPr>
      </w:pPr>
      <w:r w:rsidRPr="00C54943">
        <w:rPr>
          <w:rFonts w:ascii="Calibri" w:eastAsia="MS Mincho" w:hAnsi="Calibri" w:cs="Calibri"/>
          <w:b/>
          <w:color w:val="000000"/>
          <w:kern w:val="0"/>
          <w:sz w:val="20"/>
          <w:szCs w:val="20"/>
          <w:lang w:val="en-GB" w:eastAsia="en-GB"/>
          <w14:ligatures w14:val="none"/>
        </w:rPr>
        <w:br w:type="page"/>
      </w:r>
      <w:bookmarkEnd w:id="8"/>
      <w:bookmarkEnd w:id="9"/>
      <w:bookmarkEnd w:id="10"/>
      <w:bookmarkEnd w:id="11"/>
      <w:bookmarkEnd w:id="12"/>
      <w:bookmarkEnd w:id="13"/>
      <w:r w:rsidRPr="00C54943">
        <w:rPr>
          <w:rFonts w:ascii="Calibri" w:eastAsia="MS Mincho" w:hAnsi="Calibri" w:cs="Calibri"/>
          <w:b/>
          <w:i/>
          <w:color w:val="000000"/>
          <w:kern w:val="0"/>
          <w:sz w:val="20"/>
          <w:szCs w:val="20"/>
          <w:lang w:val="en-GB" w:eastAsia="en-GB"/>
          <w14:ligatures w14:val="none"/>
        </w:rPr>
        <w:lastRenderedPageBreak/>
        <w:t>Table of Content</w:t>
      </w:r>
    </w:p>
    <w:p w14:paraId="5AE1E747" w14:textId="77777777" w:rsidR="00892990" w:rsidRPr="00C54943" w:rsidRDefault="00892990" w:rsidP="00892990">
      <w:pPr>
        <w:spacing w:after="0" w:line="276" w:lineRule="auto"/>
        <w:rPr>
          <w:rFonts w:ascii="Calibri" w:eastAsia="MS Mincho" w:hAnsi="Calibri" w:cs="Calibri"/>
          <w:b/>
          <w:bCs/>
          <w:color w:val="000000"/>
          <w:kern w:val="0"/>
          <w:sz w:val="20"/>
          <w:szCs w:val="20"/>
          <w:lang w:val="en-GB" w:eastAsia="en-GB"/>
          <w14:ligatures w14:val="none"/>
        </w:rPr>
      </w:pPr>
    </w:p>
    <w:p w14:paraId="27728149" w14:textId="77777777" w:rsidR="00892990" w:rsidRPr="00C54943" w:rsidRDefault="00892990" w:rsidP="00892990">
      <w:pPr>
        <w:spacing w:after="0" w:line="276" w:lineRule="auto"/>
        <w:rPr>
          <w:rFonts w:ascii="Calibri" w:eastAsia="MS Mincho" w:hAnsi="Calibri" w:cs="Calibri"/>
          <w:b/>
          <w:bCs/>
          <w:color w:val="000000"/>
          <w:kern w:val="0"/>
          <w:sz w:val="20"/>
          <w:szCs w:val="20"/>
          <w:lang w:val="en-GB" w:eastAsia="en-GB"/>
          <w14:ligatures w14:val="none"/>
        </w:rPr>
      </w:pPr>
    </w:p>
    <w:p w14:paraId="6ED695F9" w14:textId="77777777" w:rsidR="00892990" w:rsidRPr="00C54943" w:rsidRDefault="00892990" w:rsidP="00892990">
      <w:pPr>
        <w:tabs>
          <w:tab w:val="left" w:pos="450"/>
          <w:tab w:val="right" w:leader="dot" w:pos="9736"/>
        </w:tabs>
        <w:spacing w:before="120" w:after="120" w:line="240" w:lineRule="auto"/>
        <w:rPr>
          <w:rFonts w:ascii="Calibri" w:eastAsia="MS Mincho" w:hAnsi="Calibri" w:cs="Calibri"/>
          <w:b/>
          <w:bCs/>
          <w:caps/>
          <w:kern w:val="0"/>
          <w:sz w:val="20"/>
          <w:szCs w:val="20"/>
          <w:lang w:eastAsia="ja-JP"/>
          <w14:ligatures w14:val="none"/>
        </w:rPr>
      </w:pPr>
      <w:r w:rsidRPr="00C54943">
        <w:rPr>
          <w:rFonts w:ascii="Calibri" w:eastAsia="MS Mincho" w:hAnsi="Calibri" w:cs="Calibri"/>
          <w:b/>
          <w:bCs/>
          <w:caps/>
          <w:kern w:val="0"/>
          <w:sz w:val="20"/>
          <w:szCs w:val="20"/>
          <w14:ligatures w14:val="none"/>
        </w:rPr>
        <w:fldChar w:fldCharType="begin"/>
      </w:r>
      <w:r w:rsidRPr="00C54943">
        <w:rPr>
          <w:rFonts w:ascii="Calibri" w:eastAsia="MS Mincho" w:hAnsi="Calibri" w:cs="Calibri"/>
          <w:b/>
          <w:bCs/>
          <w:caps/>
          <w:kern w:val="0"/>
          <w:sz w:val="20"/>
          <w:szCs w:val="20"/>
          <w14:ligatures w14:val="none"/>
        </w:rPr>
        <w:instrText xml:space="preserve"> TOC \o "1-2" \u </w:instrText>
      </w:r>
      <w:r w:rsidRPr="00C54943">
        <w:rPr>
          <w:rFonts w:ascii="Calibri" w:eastAsia="MS Mincho" w:hAnsi="Calibri" w:cs="Calibri"/>
          <w:b/>
          <w:bCs/>
          <w:caps/>
          <w:kern w:val="0"/>
          <w:sz w:val="20"/>
          <w:szCs w:val="20"/>
          <w14:ligatures w14:val="none"/>
        </w:rPr>
        <w:fldChar w:fldCharType="separate"/>
      </w:r>
      <w:r w:rsidRPr="00C54943">
        <w:rPr>
          <w:rFonts w:ascii="Calibri" w:eastAsia="MS Mincho" w:hAnsi="Calibri" w:cs="Calibri"/>
          <w:b/>
          <w:bCs/>
          <w:caps/>
          <w:kern w:val="0"/>
          <w:sz w:val="20"/>
          <w:szCs w:val="20"/>
          <w14:ligatures w14:val="none"/>
        </w:rPr>
        <w:t>I.</w:t>
      </w:r>
      <w:r w:rsidRPr="00C54943">
        <w:rPr>
          <w:rFonts w:ascii="Calibri" w:eastAsia="MS Mincho" w:hAnsi="Calibri" w:cs="Calibri"/>
          <w:b/>
          <w:bCs/>
          <w:caps/>
          <w:kern w:val="0"/>
          <w:sz w:val="20"/>
          <w:szCs w:val="20"/>
          <w:lang w:eastAsia="ja-JP"/>
          <w14:ligatures w14:val="none"/>
        </w:rPr>
        <w:tab/>
      </w:r>
      <w:r w:rsidRPr="00C54943">
        <w:rPr>
          <w:rFonts w:ascii="Calibri" w:eastAsia="MS Mincho" w:hAnsi="Calibri" w:cs="Calibri"/>
          <w:b/>
          <w:bCs/>
          <w:caps/>
          <w:kern w:val="0"/>
          <w:sz w:val="20"/>
          <w:szCs w:val="20"/>
          <w14:ligatures w14:val="none"/>
        </w:rPr>
        <w:t>Executive summary</w:t>
      </w:r>
      <w:r w:rsidRPr="00C54943">
        <w:rPr>
          <w:rFonts w:ascii="Calibri" w:eastAsia="MS Mincho" w:hAnsi="Calibri" w:cs="Calibri"/>
          <w:b/>
          <w:bCs/>
          <w:caps/>
          <w:kern w:val="0"/>
          <w:sz w:val="20"/>
          <w:szCs w:val="20"/>
          <w14:ligatures w14:val="none"/>
        </w:rPr>
        <w:tab/>
      </w:r>
      <w:r w:rsidRPr="00C54943">
        <w:rPr>
          <w:rFonts w:ascii="Calibri" w:eastAsia="MS Mincho" w:hAnsi="Calibri" w:cs="Calibri"/>
          <w:b/>
          <w:bCs/>
          <w:caps/>
          <w:kern w:val="0"/>
          <w:sz w:val="20"/>
          <w:szCs w:val="20"/>
          <w14:ligatures w14:val="none"/>
        </w:rPr>
        <w:fldChar w:fldCharType="begin"/>
      </w:r>
      <w:r w:rsidRPr="00C54943">
        <w:rPr>
          <w:rFonts w:ascii="Calibri" w:eastAsia="MS Mincho" w:hAnsi="Calibri" w:cs="Calibri"/>
          <w:b/>
          <w:bCs/>
          <w:caps/>
          <w:kern w:val="0"/>
          <w:sz w:val="20"/>
          <w:szCs w:val="20"/>
          <w14:ligatures w14:val="none"/>
        </w:rPr>
        <w:instrText xml:space="preserve"> PAGEREF _Toc366161035 \h </w:instrText>
      </w:r>
      <w:r w:rsidRPr="00C54943">
        <w:rPr>
          <w:rFonts w:ascii="Calibri" w:eastAsia="MS Mincho" w:hAnsi="Calibri" w:cs="Calibri"/>
          <w:b/>
          <w:bCs/>
          <w:caps/>
          <w:kern w:val="0"/>
          <w:sz w:val="20"/>
          <w:szCs w:val="20"/>
          <w14:ligatures w14:val="none"/>
        </w:rPr>
      </w:r>
      <w:r w:rsidRPr="00C54943">
        <w:rPr>
          <w:rFonts w:ascii="Calibri" w:eastAsia="MS Mincho" w:hAnsi="Calibri" w:cs="Calibri"/>
          <w:b/>
          <w:bCs/>
          <w:caps/>
          <w:kern w:val="0"/>
          <w:sz w:val="20"/>
          <w:szCs w:val="20"/>
          <w14:ligatures w14:val="none"/>
        </w:rPr>
        <w:fldChar w:fldCharType="separate"/>
      </w:r>
      <w:r w:rsidRPr="00C54943">
        <w:rPr>
          <w:rFonts w:ascii="Calibri" w:eastAsia="MS Mincho" w:hAnsi="Calibri" w:cs="Calibri"/>
          <w:b/>
          <w:bCs/>
          <w:caps/>
          <w:kern w:val="0"/>
          <w:sz w:val="20"/>
          <w:szCs w:val="20"/>
          <w14:ligatures w14:val="none"/>
        </w:rPr>
        <w:t>3</w:t>
      </w:r>
      <w:r w:rsidRPr="00C54943">
        <w:rPr>
          <w:rFonts w:ascii="Calibri" w:eastAsia="MS Mincho" w:hAnsi="Calibri" w:cs="Calibri"/>
          <w:b/>
          <w:bCs/>
          <w:caps/>
          <w:kern w:val="0"/>
          <w:sz w:val="20"/>
          <w:szCs w:val="20"/>
          <w14:ligatures w14:val="none"/>
        </w:rPr>
        <w:fldChar w:fldCharType="end"/>
      </w:r>
    </w:p>
    <w:p w14:paraId="39446419" w14:textId="77777777" w:rsidR="00892990" w:rsidRPr="00C54943" w:rsidRDefault="00892990" w:rsidP="00892990">
      <w:pPr>
        <w:tabs>
          <w:tab w:val="left" w:pos="450"/>
          <w:tab w:val="right" w:leader="dot" w:pos="9736"/>
        </w:tabs>
        <w:spacing w:before="120" w:after="120" w:line="240" w:lineRule="auto"/>
        <w:rPr>
          <w:rFonts w:ascii="Calibri" w:eastAsia="MS Mincho" w:hAnsi="Calibri" w:cs="Calibri"/>
          <w:b/>
          <w:bCs/>
          <w:caps/>
          <w:kern w:val="0"/>
          <w:sz w:val="20"/>
          <w:szCs w:val="20"/>
          <w:lang w:eastAsia="ja-JP"/>
          <w14:ligatures w14:val="none"/>
        </w:rPr>
      </w:pPr>
      <w:r w:rsidRPr="00C54943">
        <w:rPr>
          <w:rFonts w:ascii="Calibri" w:eastAsia="MS Mincho" w:hAnsi="Calibri" w:cs="Calibri"/>
          <w:b/>
          <w:bCs/>
          <w:caps/>
          <w:kern w:val="0"/>
          <w:sz w:val="20"/>
          <w:szCs w:val="20"/>
          <w:lang w:val="en-GB"/>
          <w14:ligatures w14:val="none"/>
        </w:rPr>
        <w:t>II.</w:t>
      </w:r>
      <w:r w:rsidRPr="00C54943">
        <w:rPr>
          <w:rFonts w:ascii="Calibri" w:eastAsia="MS Mincho" w:hAnsi="Calibri" w:cs="Calibri"/>
          <w:b/>
          <w:bCs/>
          <w:caps/>
          <w:kern w:val="0"/>
          <w:sz w:val="20"/>
          <w:szCs w:val="20"/>
          <w:lang w:eastAsia="ja-JP"/>
          <w14:ligatures w14:val="none"/>
        </w:rPr>
        <w:tab/>
      </w:r>
      <w:r w:rsidRPr="00C54943">
        <w:rPr>
          <w:rFonts w:ascii="Calibri" w:eastAsia="MS Mincho" w:hAnsi="Calibri" w:cs="Calibri"/>
          <w:b/>
          <w:bCs/>
          <w:caps/>
          <w:kern w:val="0"/>
          <w:sz w:val="20"/>
          <w:szCs w:val="20"/>
          <w:lang w:val="en-GB"/>
          <w14:ligatures w14:val="none"/>
        </w:rPr>
        <w:t>Background</w:t>
      </w:r>
      <w:r w:rsidRPr="00C54943">
        <w:rPr>
          <w:rFonts w:ascii="Calibri" w:eastAsia="MS Mincho" w:hAnsi="Calibri" w:cs="Calibri"/>
          <w:b/>
          <w:bCs/>
          <w:caps/>
          <w:kern w:val="0"/>
          <w:sz w:val="20"/>
          <w:szCs w:val="20"/>
          <w14:ligatures w14:val="none"/>
        </w:rPr>
        <w:tab/>
      </w:r>
      <w:r w:rsidRPr="00C54943">
        <w:rPr>
          <w:rFonts w:ascii="Calibri" w:eastAsia="MS Mincho" w:hAnsi="Calibri" w:cs="Calibri"/>
          <w:b/>
          <w:bCs/>
          <w:caps/>
          <w:kern w:val="0"/>
          <w:sz w:val="20"/>
          <w:szCs w:val="20"/>
          <w14:ligatures w14:val="none"/>
        </w:rPr>
        <w:fldChar w:fldCharType="begin"/>
      </w:r>
      <w:r w:rsidRPr="00C54943">
        <w:rPr>
          <w:rFonts w:ascii="Calibri" w:eastAsia="MS Mincho" w:hAnsi="Calibri" w:cs="Calibri"/>
          <w:b/>
          <w:bCs/>
          <w:caps/>
          <w:kern w:val="0"/>
          <w:sz w:val="20"/>
          <w:szCs w:val="20"/>
          <w14:ligatures w14:val="none"/>
        </w:rPr>
        <w:instrText xml:space="preserve"> PAGEREF _Toc366161036 \h </w:instrText>
      </w:r>
      <w:r w:rsidRPr="00C54943">
        <w:rPr>
          <w:rFonts w:ascii="Calibri" w:eastAsia="MS Mincho" w:hAnsi="Calibri" w:cs="Calibri"/>
          <w:b/>
          <w:bCs/>
          <w:caps/>
          <w:kern w:val="0"/>
          <w:sz w:val="20"/>
          <w:szCs w:val="20"/>
          <w14:ligatures w14:val="none"/>
        </w:rPr>
      </w:r>
      <w:r w:rsidRPr="00C54943">
        <w:rPr>
          <w:rFonts w:ascii="Calibri" w:eastAsia="MS Mincho" w:hAnsi="Calibri" w:cs="Calibri"/>
          <w:b/>
          <w:bCs/>
          <w:caps/>
          <w:kern w:val="0"/>
          <w:sz w:val="20"/>
          <w:szCs w:val="20"/>
          <w14:ligatures w14:val="none"/>
        </w:rPr>
        <w:fldChar w:fldCharType="separate"/>
      </w:r>
      <w:r w:rsidRPr="00C54943">
        <w:rPr>
          <w:rFonts w:ascii="Calibri" w:eastAsia="MS Mincho" w:hAnsi="Calibri" w:cs="Calibri"/>
          <w:b/>
          <w:bCs/>
          <w:caps/>
          <w:kern w:val="0"/>
          <w:sz w:val="20"/>
          <w:szCs w:val="20"/>
          <w14:ligatures w14:val="none"/>
        </w:rPr>
        <w:t>3</w:t>
      </w:r>
      <w:r w:rsidRPr="00C54943">
        <w:rPr>
          <w:rFonts w:ascii="Calibri" w:eastAsia="MS Mincho" w:hAnsi="Calibri" w:cs="Calibri"/>
          <w:b/>
          <w:bCs/>
          <w:caps/>
          <w:kern w:val="0"/>
          <w:sz w:val="20"/>
          <w:szCs w:val="20"/>
          <w14:ligatures w14:val="none"/>
        </w:rPr>
        <w:fldChar w:fldCharType="end"/>
      </w:r>
    </w:p>
    <w:p w14:paraId="0FC0E9A1" w14:textId="77777777" w:rsidR="00892990" w:rsidRPr="00C54943" w:rsidRDefault="00892990" w:rsidP="00892990">
      <w:pPr>
        <w:tabs>
          <w:tab w:val="left" w:pos="450"/>
          <w:tab w:val="right" w:leader="dot" w:pos="9736"/>
        </w:tabs>
        <w:spacing w:before="120" w:after="120" w:line="240" w:lineRule="auto"/>
        <w:rPr>
          <w:rFonts w:ascii="Calibri" w:eastAsia="MS Mincho" w:hAnsi="Calibri" w:cs="Calibri"/>
          <w:b/>
          <w:bCs/>
          <w:caps/>
          <w:kern w:val="0"/>
          <w:sz w:val="20"/>
          <w:szCs w:val="20"/>
          <w:lang w:eastAsia="ja-JP"/>
          <w14:ligatures w14:val="none"/>
        </w:rPr>
      </w:pPr>
      <w:r w:rsidRPr="00C54943">
        <w:rPr>
          <w:rFonts w:ascii="Calibri" w:eastAsia="MS Mincho" w:hAnsi="Calibri" w:cs="Calibri"/>
          <w:b/>
          <w:bCs/>
          <w:caps/>
          <w:kern w:val="0"/>
          <w:sz w:val="20"/>
          <w:szCs w:val="20"/>
          <w:lang w:val="en-GB"/>
          <w14:ligatures w14:val="none"/>
        </w:rPr>
        <w:t>III.</w:t>
      </w:r>
      <w:r w:rsidRPr="00C54943">
        <w:rPr>
          <w:rFonts w:ascii="Calibri" w:eastAsia="MS Mincho" w:hAnsi="Calibri" w:cs="Calibri"/>
          <w:b/>
          <w:bCs/>
          <w:caps/>
          <w:kern w:val="0"/>
          <w:sz w:val="20"/>
          <w:szCs w:val="20"/>
          <w:lang w:eastAsia="ja-JP"/>
          <w14:ligatures w14:val="none"/>
        </w:rPr>
        <w:tab/>
      </w:r>
      <w:r w:rsidRPr="00C54943">
        <w:rPr>
          <w:rFonts w:ascii="Calibri" w:eastAsia="MS Mincho" w:hAnsi="Calibri" w:cs="Calibri"/>
          <w:b/>
          <w:bCs/>
          <w:caps/>
          <w:kern w:val="0"/>
          <w:sz w:val="20"/>
          <w:szCs w:val="20"/>
          <w:lang w:val="en-GB"/>
          <w14:ligatures w14:val="none"/>
        </w:rPr>
        <w:t>Progress Review</w:t>
      </w:r>
      <w:r w:rsidRPr="00C54943">
        <w:rPr>
          <w:rFonts w:ascii="Calibri" w:eastAsia="MS Mincho" w:hAnsi="Calibri" w:cs="Calibri"/>
          <w:b/>
          <w:bCs/>
          <w:caps/>
          <w:kern w:val="0"/>
          <w:sz w:val="20"/>
          <w:szCs w:val="20"/>
          <w14:ligatures w14:val="none"/>
        </w:rPr>
        <w:tab/>
      </w:r>
      <w:r w:rsidRPr="00C54943">
        <w:rPr>
          <w:rFonts w:ascii="Calibri" w:eastAsia="MS Mincho" w:hAnsi="Calibri" w:cs="Calibri"/>
          <w:b/>
          <w:bCs/>
          <w:caps/>
          <w:kern w:val="0"/>
          <w:sz w:val="20"/>
          <w:szCs w:val="20"/>
          <w14:ligatures w14:val="none"/>
        </w:rPr>
        <w:fldChar w:fldCharType="begin"/>
      </w:r>
      <w:r w:rsidRPr="00C54943">
        <w:rPr>
          <w:rFonts w:ascii="Calibri" w:eastAsia="MS Mincho" w:hAnsi="Calibri" w:cs="Calibri"/>
          <w:b/>
          <w:bCs/>
          <w:caps/>
          <w:kern w:val="0"/>
          <w:sz w:val="20"/>
          <w:szCs w:val="20"/>
          <w14:ligatures w14:val="none"/>
        </w:rPr>
        <w:instrText xml:space="preserve"> PAGEREF _Toc366161037 \h </w:instrText>
      </w:r>
      <w:r w:rsidRPr="00C54943">
        <w:rPr>
          <w:rFonts w:ascii="Calibri" w:eastAsia="MS Mincho" w:hAnsi="Calibri" w:cs="Calibri"/>
          <w:b/>
          <w:bCs/>
          <w:caps/>
          <w:kern w:val="0"/>
          <w:sz w:val="20"/>
          <w:szCs w:val="20"/>
          <w14:ligatures w14:val="none"/>
        </w:rPr>
      </w:r>
      <w:r w:rsidRPr="00C54943">
        <w:rPr>
          <w:rFonts w:ascii="Calibri" w:eastAsia="MS Mincho" w:hAnsi="Calibri" w:cs="Calibri"/>
          <w:b/>
          <w:bCs/>
          <w:caps/>
          <w:kern w:val="0"/>
          <w:sz w:val="20"/>
          <w:szCs w:val="20"/>
          <w14:ligatures w14:val="none"/>
        </w:rPr>
        <w:fldChar w:fldCharType="separate"/>
      </w:r>
      <w:r w:rsidRPr="00C54943">
        <w:rPr>
          <w:rFonts w:ascii="Calibri" w:eastAsia="MS Mincho" w:hAnsi="Calibri" w:cs="Calibri"/>
          <w:b/>
          <w:bCs/>
          <w:caps/>
          <w:kern w:val="0"/>
          <w:sz w:val="20"/>
          <w:szCs w:val="20"/>
          <w14:ligatures w14:val="none"/>
        </w:rPr>
        <w:t>3</w:t>
      </w:r>
      <w:r w:rsidRPr="00C54943">
        <w:rPr>
          <w:rFonts w:ascii="Calibri" w:eastAsia="MS Mincho" w:hAnsi="Calibri" w:cs="Calibri"/>
          <w:b/>
          <w:bCs/>
          <w:caps/>
          <w:kern w:val="0"/>
          <w:sz w:val="20"/>
          <w:szCs w:val="20"/>
          <w14:ligatures w14:val="none"/>
        </w:rPr>
        <w:fldChar w:fldCharType="end"/>
      </w:r>
    </w:p>
    <w:p w14:paraId="76CF7118" w14:textId="77777777" w:rsidR="00892990" w:rsidRPr="00C54943" w:rsidRDefault="00892990" w:rsidP="00892990">
      <w:pPr>
        <w:tabs>
          <w:tab w:val="left" w:pos="450"/>
          <w:tab w:val="right" w:leader="dot" w:pos="9736"/>
        </w:tabs>
        <w:spacing w:before="120" w:after="120" w:line="240" w:lineRule="auto"/>
        <w:rPr>
          <w:rFonts w:ascii="Calibri" w:eastAsia="MS Mincho" w:hAnsi="Calibri" w:cs="Calibri"/>
          <w:b/>
          <w:bCs/>
          <w:caps/>
          <w:kern w:val="0"/>
          <w:sz w:val="20"/>
          <w:szCs w:val="20"/>
          <w:lang w:eastAsia="ja-JP"/>
          <w14:ligatures w14:val="none"/>
        </w:rPr>
      </w:pPr>
      <w:r w:rsidRPr="00C54943">
        <w:rPr>
          <w:rFonts w:ascii="Calibri" w:eastAsia="MS Mincho" w:hAnsi="Calibri" w:cs="Calibri"/>
          <w:b/>
          <w:bCs/>
          <w:caps/>
          <w:kern w:val="0"/>
          <w:sz w:val="20"/>
          <w:szCs w:val="20"/>
          <w:lang w:val="en-GB"/>
          <w14:ligatures w14:val="none"/>
        </w:rPr>
        <w:t>IV.</w:t>
      </w:r>
      <w:r w:rsidRPr="00C54943">
        <w:rPr>
          <w:rFonts w:ascii="Calibri" w:eastAsia="MS Mincho" w:hAnsi="Calibri" w:cs="Calibri"/>
          <w:b/>
          <w:bCs/>
          <w:caps/>
          <w:kern w:val="0"/>
          <w:sz w:val="20"/>
          <w:szCs w:val="20"/>
          <w:lang w:eastAsia="ja-JP"/>
          <w14:ligatures w14:val="none"/>
        </w:rPr>
        <w:tab/>
      </w:r>
      <w:r w:rsidRPr="00C54943">
        <w:rPr>
          <w:rFonts w:ascii="Calibri" w:eastAsia="MS Mincho" w:hAnsi="Calibri" w:cs="Calibri"/>
          <w:b/>
          <w:bCs/>
          <w:caps/>
          <w:kern w:val="0"/>
          <w:sz w:val="20"/>
          <w:szCs w:val="20"/>
          <w:lang w:val="en-GB"/>
          <w14:ligatures w14:val="none"/>
        </w:rPr>
        <w:t>Project Risks and Issues</w:t>
      </w:r>
      <w:r w:rsidRPr="00C54943">
        <w:rPr>
          <w:rFonts w:ascii="Calibri" w:eastAsia="MS Mincho" w:hAnsi="Calibri" w:cs="Calibri"/>
          <w:b/>
          <w:bCs/>
          <w:caps/>
          <w:kern w:val="0"/>
          <w:sz w:val="20"/>
          <w:szCs w:val="20"/>
          <w14:ligatures w14:val="none"/>
        </w:rPr>
        <w:tab/>
      </w:r>
      <w:r w:rsidRPr="00C54943">
        <w:rPr>
          <w:rFonts w:ascii="Calibri" w:eastAsia="MS Mincho" w:hAnsi="Calibri" w:cs="Calibri"/>
          <w:b/>
          <w:bCs/>
          <w:caps/>
          <w:kern w:val="0"/>
          <w:sz w:val="20"/>
          <w:szCs w:val="20"/>
          <w14:ligatures w14:val="none"/>
        </w:rPr>
        <w:fldChar w:fldCharType="begin"/>
      </w:r>
      <w:r w:rsidRPr="00C54943">
        <w:rPr>
          <w:rFonts w:ascii="Calibri" w:eastAsia="MS Mincho" w:hAnsi="Calibri" w:cs="Calibri"/>
          <w:b/>
          <w:bCs/>
          <w:caps/>
          <w:kern w:val="0"/>
          <w:sz w:val="20"/>
          <w:szCs w:val="20"/>
          <w14:ligatures w14:val="none"/>
        </w:rPr>
        <w:instrText xml:space="preserve"> PAGEREF _Toc366161038 \h </w:instrText>
      </w:r>
      <w:r w:rsidRPr="00C54943">
        <w:rPr>
          <w:rFonts w:ascii="Calibri" w:eastAsia="MS Mincho" w:hAnsi="Calibri" w:cs="Calibri"/>
          <w:b/>
          <w:bCs/>
          <w:caps/>
          <w:kern w:val="0"/>
          <w:sz w:val="20"/>
          <w:szCs w:val="20"/>
          <w14:ligatures w14:val="none"/>
        </w:rPr>
      </w:r>
      <w:r w:rsidRPr="00C54943">
        <w:rPr>
          <w:rFonts w:ascii="Calibri" w:eastAsia="MS Mincho" w:hAnsi="Calibri" w:cs="Calibri"/>
          <w:b/>
          <w:bCs/>
          <w:caps/>
          <w:kern w:val="0"/>
          <w:sz w:val="20"/>
          <w:szCs w:val="20"/>
          <w14:ligatures w14:val="none"/>
        </w:rPr>
        <w:fldChar w:fldCharType="separate"/>
      </w:r>
      <w:r w:rsidRPr="00C54943">
        <w:rPr>
          <w:rFonts w:ascii="Calibri" w:eastAsia="MS Mincho" w:hAnsi="Calibri" w:cs="Calibri"/>
          <w:b/>
          <w:bCs/>
          <w:caps/>
          <w:kern w:val="0"/>
          <w:sz w:val="20"/>
          <w:szCs w:val="20"/>
          <w14:ligatures w14:val="none"/>
        </w:rPr>
        <w:t>3</w:t>
      </w:r>
      <w:r w:rsidRPr="00C54943">
        <w:rPr>
          <w:rFonts w:ascii="Calibri" w:eastAsia="MS Mincho" w:hAnsi="Calibri" w:cs="Calibri"/>
          <w:b/>
          <w:bCs/>
          <w:caps/>
          <w:kern w:val="0"/>
          <w:sz w:val="20"/>
          <w:szCs w:val="20"/>
          <w14:ligatures w14:val="none"/>
        </w:rPr>
        <w:fldChar w:fldCharType="end"/>
      </w:r>
    </w:p>
    <w:p w14:paraId="0F329AFC" w14:textId="77777777" w:rsidR="00892990" w:rsidRPr="00C54943" w:rsidRDefault="00892990" w:rsidP="00892990">
      <w:pPr>
        <w:tabs>
          <w:tab w:val="left" w:pos="660"/>
          <w:tab w:val="right" w:leader="dot" w:pos="9060"/>
        </w:tabs>
        <w:spacing w:after="0" w:line="240" w:lineRule="auto"/>
        <w:ind w:left="220"/>
        <w:rPr>
          <w:rFonts w:ascii="Calibri" w:eastAsia="MS Mincho" w:hAnsi="Calibri" w:cs="Calibri"/>
          <w:noProof/>
          <w:kern w:val="0"/>
          <w:sz w:val="20"/>
          <w:szCs w:val="20"/>
          <w:lang w:eastAsia="ja-JP"/>
          <w14:ligatures w14:val="none"/>
        </w:rPr>
      </w:pPr>
      <w:r w:rsidRPr="00C54943">
        <w:rPr>
          <w:rFonts w:ascii="Calibri" w:eastAsia="MS Mincho" w:hAnsi="Calibri" w:cs="Calibri"/>
          <w:smallCaps/>
          <w:noProof/>
          <w:kern w:val="0"/>
          <w:sz w:val="20"/>
          <w:szCs w:val="20"/>
          <w:lang w:val="en-GB"/>
          <w14:ligatures w14:val="none"/>
        </w:rPr>
        <w:t>a.</w:t>
      </w:r>
      <w:r w:rsidRPr="00C54943">
        <w:rPr>
          <w:rFonts w:ascii="Calibri" w:eastAsia="MS Mincho" w:hAnsi="Calibri" w:cs="Calibri"/>
          <w:noProof/>
          <w:kern w:val="0"/>
          <w:sz w:val="20"/>
          <w:szCs w:val="20"/>
          <w:lang w:eastAsia="ja-JP"/>
          <w14:ligatures w14:val="none"/>
        </w:rPr>
        <w:tab/>
      </w:r>
      <w:r w:rsidRPr="00C54943">
        <w:rPr>
          <w:rFonts w:ascii="Calibri" w:eastAsia="MS Mincho" w:hAnsi="Calibri" w:cs="Calibri"/>
          <w:smallCaps/>
          <w:noProof/>
          <w:kern w:val="0"/>
          <w:sz w:val="20"/>
          <w:szCs w:val="20"/>
          <w:lang w:val="en-GB"/>
          <w14:ligatures w14:val="none"/>
        </w:rPr>
        <w:t>Updated project risks and actions</w:t>
      </w:r>
      <w:r w:rsidRPr="00C54943">
        <w:rPr>
          <w:rFonts w:ascii="Calibri" w:eastAsia="MS Mincho" w:hAnsi="Calibri" w:cs="Calibri"/>
          <w:smallCaps/>
          <w:noProof/>
          <w:kern w:val="0"/>
          <w:sz w:val="20"/>
          <w:szCs w:val="20"/>
          <w14:ligatures w14:val="none"/>
        </w:rPr>
        <w:tab/>
      </w:r>
      <w:r w:rsidRPr="00C54943">
        <w:rPr>
          <w:rFonts w:ascii="Calibri" w:eastAsia="MS Mincho" w:hAnsi="Calibri" w:cs="Calibri"/>
          <w:smallCaps/>
          <w:noProof/>
          <w:kern w:val="0"/>
          <w:sz w:val="20"/>
          <w:szCs w:val="20"/>
          <w14:ligatures w14:val="none"/>
        </w:rPr>
        <w:fldChar w:fldCharType="begin"/>
      </w:r>
      <w:r w:rsidRPr="00C54943">
        <w:rPr>
          <w:rFonts w:ascii="Calibri" w:eastAsia="MS Mincho" w:hAnsi="Calibri" w:cs="Calibri"/>
          <w:smallCaps/>
          <w:noProof/>
          <w:kern w:val="0"/>
          <w:sz w:val="20"/>
          <w:szCs w:val="20"/>
          <w14:ligatures w14:val="none"/>
        </w:rPr>
        <w:instrText xml:space="preserve"> PAGEREF _Toc366161039 \h </w:instrText>
      </w:r>
      <w:r w:rsidRPr="00C54943">
        <w:rPr>
          <w:rFonts w:ascii="Calibri" w:eastAsia="MS Mincho" w:hAnsi="Calibri" w:cs="Calibri"/>
          <w:smallCaps/>
          <w:noProof/>
          <w:kern w:val="0"/>
          <w:sz w:val="20"/>
          <w:szCs w:val="20"/>
          <w14:ligatures w14:val="none"/>
        </w:rPr>
      </w:r>
      <w:r w:rsidRPr="00C54943">
        <w:rPr>
          <w:rFonts w:ascii="Calibri" w:eastAsia="MS Mincho" w:hAnsi="Calibri" w:cs="Calibri"/>
          <w:smallCaps/>
          <w:noProof/>
          <w:kern w:val="0"/>
          <w:sz w:val="20"/>
          <w:szCs w:val="20"/>
          <w14:ligatures w14:val="none"/>
        </w:rPr>
        <w:fldChar w:fldCharType="separate"/>
      </w:r>
      <w:r w:rsidRPr="00C54943">
        <w:rPr>
          <w:rFonts w:ascii="Calibri" w:eastAsia="MS Mincho" w:hAnsi="Calibri" w:cs="Calibri"/>
          <w:smallCaps/>
          <w:noProof/>
          <w:kern w:val="0"/>
          <w:sz w:val="20"/>
          <w:szCs w:val="20"/>
          <w14:ligatures w14:val="none"/>
        </w:rPr>
        <w:t>4</w:t>
      </w:r>
      <w:r w:rsidRPr="00C54943">
        <w:rPr>
          <w:rFonts w:ascii="Calibri" w:eastAsia="MS Mincho" w:hAnsi="Calibri" w:cs="Calibri"/>
          <w:smallCaps/>
          <w:noProof/>
          <w:kern w:val="0"/>
          <w:sz w:val="20"/>
          <w:szCs w:val="20"/>
          <w14:ligatures w14:val="none"/>
        </w:rPr>
        <w:fldChar w:fldCharType="end"/>
      </w:r>
    </w:p>
    <w:p w14:paraId="2370735D" w14:textId="77777777" w:rsidR="00892990" w:rsidRPr="00C54943" w:rsidRDefault="00892990" w:rsidP="00892990">
      <w:pPr>
        <w:tabs>
          <w:tab w:val="left" w:pos="660"/>
          <w:tab w:val="right" w:leader="dot" w:pos="9060"/>
        </w:tabs>
        <w:spacing w:after="0" w:line="240" w:lineRule="auto"/>
        <w:ind w:left="220"/>
        <w:rPr>
          <w:rFonts w:ascii="Calibri" w:eastAsia="MS Mincho" w:hAnsi="Calibri" w:cs="Calibri"/>
          <w:noProof/>
          <w:kern w:val="0"/>
          <w:sz w:val="20"/>
          <w:szCs w:val="20"/>
          <w:lang w:eastAsia="ja-JP"/>
          <w14:ligatures w14:val="none"/>
        </w:rPr>
      </w:pPr>
      <w:r w:rsidRPr="00C54943">
        <w:rPr>
          <w:rFonts w:ascii="Calibri" w:eastAsia="MS Mincho" w:hAnsi="Calibri" w:cs="Calibri"/>
          <w:smallCaps/>
          <w:noProof/>
          <w:kern w:val="0"/>
          <w:sz w:val="20"/>
          <w:szCs w:val="20"/>
          <w:lang w:val="en-GB"/>
          <w14:ligatures w14:val="none"/>
        </w:rPr>
        <w:t>b.</w:t>
      </w:r>
      <w:r w:rsidRPr="00C54943">
        <w:rPr>
          <w:rFonts w:ascii="Calibri" w:eastAsia="MS Mincho" w:hAnsi="Calibri" w:cs="Calibri"/>
          <w:noProof/>
          <w:kern w:val="0"/>
          <w:sz w:val="20"/>
          <w:szCs w:val="20"/>
          <w:lang w:eastAsia="ja-JP"/>
          <w14:ligatures w14:val="none"/>
        </w:rPr>
        <w:tab/>
      </w:r>
      <w:r w:rsidRPr="00C54943">
        <w:rPr>
          <w:rFonts w:ascii="Calibri" w:eastAsia="MS Mincho" w:hAnsi="Calibri" w:cs="Calibri"/>
          <w:smallCaps/>
          <w:noProof/>
          <w:kern w:val="0"/>
          <w:sz w:val="20"/>
          <w:szCs w:val="20"/>
          <w:lang w:val="en-GB"/>
          <w14:ligatures w14:val="none"/>
        </w:rPr>
        <w:t>Updated project issues and actions</w:t>
      </w:r>
      <w:r w:rsidRPr="00C54943">
        <w:rPr>
          <w:rFonts w:ascii="Calibri" w:eastAsia="MS Mincho" w:hAnsi="Calibri" w:cs="Calibri"/>
          <w:smallCaps/>
          <w:noProof/>
          <w:kern w:val="0"/>
          <w:sz w:val="20"/>
          <w:szCs w:val="20"/>
          <w14:ligatures w14:val="none"/>
        </w:rPr>
        <w:tab/>
      </w:r>
      <w:r w:rsidRPr="00C54943">
        <w:rPr>
          <w:rFonts w:ascii="Calibri" w:eastAsia="MS Mincho" w:hAnsi="Calibri" w:cs="Calibri"/>
          <w:smallCaps/>
          <w:noProof/>
          <w:kern w:val="0"/>
          <w:sz w:val="20"/>
          <w:szCs w:val="20"/>
          <w14:ligatures w14:val="none"/>
        </w:rPr>
        <w:fldChar w:fldCharType="begin"/>
      </w:r>
      <w:r w:rsidRPr="00C54943">
        <w:rPr>
          <w:rFonts w:ascii="Calibri" w:eastAsia="MS Mincho" w:hAnsi="Calibri" w:cs="Calibri"/>
          <w:smallCaps/>
          <w:noProof/>
          <w:kern w:val="0"/>
          <w:sz w:val="20"/>
          <w:szCs w:val="20"/>
          <w14:ligatures w14:val="none"/>
        </w:rPr>
        <w:instrText xml:space="preserve"> PAGEREF _Toc366161040 \h </w:instrText>
      </w:r>
      <w:r w:rsidRPr="00C54943">
        <w:rPr>
          <w:rFonts w:ascii="Calibri" w:eastAsia="MS Mincho" w:hAnsi="Calibri" w:cs="Calibri"/>
          <w:smallCaps/>
          <w:noProof/>
          <w:kern w:val="0"/>
          <w:sz w:val="20"/>
          <w:szCs w:val="20"/>
          <w14:ligatures w14:val="none"/>
        </w:rPr>
      </w:r>
      <w:r w:rsidRPr="00C54943">
        <w:rPr>
          <w:rFonts w:ascii="Calibri" w:eastAsia="MS Mincho" w:hAnsi="Calibri" w:cs="Calibri"/>
          <w:smallCaps/>
          <w:noProof/>
          <w:kern w:val="0"/>
          <w:sz w:val="20"/>
          <w:szCs w:val="20"/>
          <w14:ligatures w14:val="none"/>
        </w:rPr>
        <w:fldChar w:fldCharType="separate"/>
      </w:r>
      <w:r w:rsidRPr="00C54943">
        <w:rPr>
          <w:rFonts w:ascii="Calibri" w:eastAsia="MS Mincho" w:hAnsi="Calibri" w:cs="Calibri"/>
          <w:smallCaps/>
          <w:noProof/>
          <w:kern w:val="0"/>
          <w:sz w:val="20"/>
          <w:szCs w:val="20"/>
          <w14:ligatures w14:val="none"/>
        </w:rPr>
        <w:t>4</w:t>
      </w:r>
      <w:r w:rsidRPr="00C54943">
        <w:rPr>
          <w:rFonts w:ascii="Calibri" w:eastAsia="MS Mincho" w:hAnsi="Calibri" w:cs="Calibri"/>
          <w:smallCaps/>
          <w:noProof/>
          <w:kern w:val="0"/>
          <w:sz w:val="20"/>
          <w:szCs w:val="20"/>
          <w14:ligatures w14:val="none"/>
        </w:rPr>
        <w:fldChar w:fldCharType="end"/>
      </w:r>
    </w:p>
    <w:p w14:paraId="2C068B02" w14:textId="77777777" w:rsidR="00892990" w:rsidRPr="00C54943" w:rsidRDefault="00892990" w:rsidP="00892990">
      <w:pPr>
        <w:tabs>
          <w:tab w:val="left" w:pos="450"/>
          <w:tab w:val="right" w:leader="dot" w:pos="9736"/>
        </w:tabs>
        <w:spacing w:before="120" w:after="120" w:line="240" w:lineRule="auto"/>
        <w:rPr>
          <w:rFonts w:ascii="Calibri" w:eastAsia="MS Mincho" w:hAnsi="Calibri" w:cs="Calibri"/>
          <w:b/>
          <w:bCs/>
          <w:caps/>
          <w:kern w:val="0"/>
          <w:sz w:val="20"/>
          <w:szCs w:val="20"/>
          <w:lang w:eastAsia="ja-JP"/>
          <w14:ligatures w14:val="none"/>
        </w:rPr>
      </w:pPr>
      <w:r w:rsidRPr="00C54943">
        <w:rPr>
          <w:rFonts w:ascii="Calibri" w:eastAsia="MS Mincho" w:hAnsi="Calibri" w:cs="Calibri"/>
          <w:b/>
          <w:bCs/>
          <w:caps/>
          <w:kern w:val="0"/>
          <w:sz w:val="20"/>
          <w:szCs w:val="20"/>
          <w:lang w:val="en-GB"/>
          <w14:ligatures w14:val="none"/>
        </w:rPr>
        <w:t>V.</w:t>
      </w:r>
      <w:r w:rsidRPr="00C54943">
        <w:rPr>
          <w:rFonts w:ascii="Calibri" w:eastAsia="MS Mincho" w:hAnsi="Calibri" w:cs="Calibri"/>
          <w:b/>
          <w:bCs/>
          <w:caps/>
          <w:kern w:val="0"/>
          <w:sz w:val="20"/>
          <w:szCs w:val="20"/>
          <w:lang w:eastAsia="ja-JP"/>
          <w14:ligatures w14:val="none"/>
        </w:rPr>
        <w:tab/>
      </w:r>
      <w:r w:rsidRPr="00C54943">
        <w:rPr>
          <w:rFonts w:ascii="Calibri" w:eastAsia="MS Mincho" w:hAnsi="Calibri" w:cs="Calibri"/>
          <w:b/>
          <w:bCs/>
          <w:caps/>
          <w:kern w:val="0"/>
          <w:sz w:val="20"/>
          <w:szCs w:val="20"/>
          <w:lang w:val="en-GB"/>
          <w14:ligatures w14:val="none"/>
        </w:rPr>
        <w:t>Lessons Learned</w:t>
      </w:r>
      <w:r w:rsidRPr="00C54943">
        <w:rPr>
          <w:rFonts w:ascii="Calibri" w:eastAsia="MS Mincho" w:hAnsi="Calibri" w:cs="Calibri"/>
          <w:b/>
          <w:bCs/>
          <w:caps/>
          <w:kern w:val="0"/>
          <w:sz w:val="20"/>
          <w:szCs w:val="20"/>
          <w14:ligatures w14:val="none"/>
        </w:rPr>
        <w:tab/>
      </w:r>
      <w:r w:rsidRPr="00C54943">
        <w:rPr>
          <w:rFonts w:ascii="Calibri" w:eastAsia="MS Mincho" w:hAnsi="Calibri" w:cs="Calibri"/>
          <w:b/>
          <w:bCs/>
          <w:caps/>
          <w:kern w:val="0"/>
          <w:sz w:val="20"/>
          <w:szCs w:val="20"/>
          <w14:ligatures w14:val="none"/>
        </w:rPr>
        <w:fldChar w:fldCharType="begin"/>
      </w:r>
      <w:r w:rsidRPr="00C54943">
        <w:rPr>
          <w:rFonts w:ascii="Calibri" w:eastAsia="MS Mincho" w:hAnsi="Calibri" w:cs="Calibri"/>
          <w:b/>
          <w:bCs/>
          <w:caps/>
          <w:kern w:val="0"/>
          <w:sz w:val="20"/>
          <w:szCs w:val="20"/>
          <w14:ligatures w14:val="none"/>
        </w:rPr>
        <w:instrText xml:space="preserve"> PAGEREF _Toc366161041 \h </w:instrText>
      </w:r>
      <w:r w:rsidRPr="00C54943">
        <w:rPr>
          <w:rFonts w:ascii="Calibri" w:eastAsia="MS Mincho" w:hAnsi="Calibri" w:cs="Calibri"/>
          <w:b/>
          <w:bCs/>
          <w:caps/>
          <w:kern w:val="0"/>
          <w:sz w:val="20"/>
          <w:szCs w:val="20"/>
          <w14:ligatures w14:val="none"/>
        </w:rPr>
      </w:r>
      <w:r w:rsidRPr="00C54943">
        <w:rPr>
          <w:rFonts w:ascii="Calibri" w:eastAsia="MS Mincho" w:hAnsi="Calibri" w:cs="Calibri"/>
          <w:b/>
          <w:bCs/>
          <w:caps/>
          <w:kern w:val="0"/>
          <w:sz w:val="20"/>
          <w:szCs w:val="20"/>
          <w14:ligatures w14:val="none"/>
        </w:rPr>
        <w:fldChar w:fldCharType="separate"/>
      </w:r>
      <w:r w:rsidRPr="00C54943">
        <w:rPr>
          <w:rFonts w:ascii="Calibri" w:eastAsia="MS Mincho" w:hAnsi="Calibri" w:cs="Calibri"/>
          <w:b/>
          <w:bCs/>
          <w:caps/>
          <w:kern w:val="0"/>
          <w:sz w:val="20"/>
          <w:szCs w:val="20"/>
          <w14:ligatures w14:val="none"/>
        </w:rPr>
        <w:t>4</w:t>
      </w:r>
      <w:r w:rsidRPr="00C54943">
        <w:rPr>
          <w:rFonts w:ascii="Calibri" w:eastAsia="MS Mincho" w:hAnsi="Calibri" w:cs="Calibri"/>
          <w:b/>
          <w:bCs/>
          <w:caps/>
          <w:kern w:val="0"/>
          <w:sz w:val="20"/>
          <w:szCs w:val="20"/>
          <w14:ligatures w14:val="none"/>
        </w:rPr>
        <w:fldChar w:fldCharType="end"/>
      </w:r>
    </w:p>
    <w:p w14:paraId="120F8580" w14:textId="77777777" w:rsidR="00892990" w:rsidRPr="00C54943" w:rsidRDefault="00892990" w:rsidP="00892990">
      <w:pPr>
        <w:tabs>
          <w:tab w:val="left" w:pos="450"/>
          <w:tab w:val="right" w:leader="dot" w:pos="9736"/>
        </w:tabs>
        <w:spacing w:before="120" w:after="120" w:line="240" w:lineRule="auto"/>
        <w:rPr>
          <w:rFonts w:ascii="Calibri" w:eastAsia="MS Mincho" w:hAnsi="Calibri" w:cs="Calibri"/>
          <w:b/>
          <w:bCs/>
          <w:caps/>
          <w:kern w:val="0"/>
          <w:sz w:val="20"/>
          <w:szCs w:val="20"/>
          <w:lang w:eastAsia="ja-JP"/>
          <w14:ligatures w14:val="none"/>
        </w:rPr>
      </w:pPr>
      <w:r w:rsidRPr="00C54943">
        <w:rPr>
          <w:rFonts w:ascii="Calibri" w:eastAsia="MS Mincho" w:hAnsi="Calibri" w:cs="Calibri"/>
          <w:b/>
          <w:bCs/>
          <w:caps/>
          <w:kern w:val="0"/>
          <w:sz w:val="20"/>
          <w:szCs w:val="20"/>
          <w:lang w:val="en-GB"/>
          <w14:ligatures w14:val="none"/>
        </w:rPr>
        <w:t>VI.</w:t>
      </w:r>
      <w:r w:rsidRPr="00C54943">
        <w:rPr>
          <w:rFonts w:ascii="Calibri" w:eastAsia="MS Mincho" w:hAnsi="Calibri" w:cs="Calibri"/>
          <w:b/>
          <w:bCs/>
          <w:caps/>
          <w:kern w:val="0"/>
          <w:sz w:val="20"/>
          <w:szCs w:val="20"/>
          <w:lang w:eastAsia="ja-JP"/>
          <w14:ligatures w14:val="none"/>
        </w:rPr>
        <w:tab/>
      </w:r>
      <w:r w:rsidRPr="00C54943">
        <w:rPr>
          <w:rFonts w:ascii="Calibri" w:eastAsia="MS Mincho" w:hAnsi="Calibri" w:cs="Calibri"/>
          <w:b/>
          <w:bCs/>
          <w:caps/>
          <w:kern w:val="0"/>
          <w:sz w:val="20"/>
          <w:szCs w:val="20"/>
          <w:lang w:val="en-GB"/>
          <w14:ligatures w14:val="none"/>
        </w:rPr>
        <w:t>Conclusions and Way Forward</w:t>
      </w:r>
      <w:r w:rsidRPr="00C54943">
        <w:rPr>
          <w:rFonts w:ascii="Calibri" w:eastAsia="MS Mincho" w:hAnsi="Calibri" w:cs="Calibri"/>
          <w:b/>
          <w:bCs/>
          <w:caps/>
          <w:kern w:val="0"/>
          <w:sz w:val="20"/>
          <w:szCs w:val="20"/>
          <w14:ligatures w14:val="none"/>
        </w:rPr>
        <w:tab/>
      </w:r>
      <w:r w:rsidRPr="00C54943">
        <w:rPr>
          <w:rFonts w:ascii="Calibri" w:eastAsia="MS Mincho" w:hAnsi="Calibri" w:cs="Calibri"/>
          <w:b/>
          <w:bCs/>
          <w:caps/>
          <w:kern w:val="0"/>
          <w:sz w:val="20"/>
          <w:szCs w:val="20"/>
          <w14:ligatures w14:val="none"/>
        </w:rPr>
        <w:fldChar w:fldCharType="begin"/>
      </w:r>
      <w:r w:rsidRPr="00C54943">
        <w:rPr>
          <w:rFonts w:ascii="Calibri" w:eastAsia="MS Mincho" w:hAnsi="Calibri" w:cs="Calibri"/>
          <w:b/>
          <w:bCs/>
          <w:caps/>
          <w:kern w:val="0"/>
          <w:sz w:val="20"/>
          <w:szCs w:val="20"/>
          <w14:ligatures w14:val="none"/>
        </w:rPr>
        <w:instrText xml:space="preserve"> PAGEREF _Toc366161042 \h </w:instrText>
      </w:r>
      <w:r w:rsidRPr="00C54943">
        <w:rPr>
          <w:rFonts w:ascii="Calibri" w:eastAsia="MS Mincho" w:hAnsi="Calibri" w:cs="Calibri"/>
          <w:b/>
          <w:bCs/>
          <w:caps/>
          <w:kern w:val="0"/>
          <w:sz w:val="20"/>
          <w:szCs w:val="20"/>
          <w14:ligatures w14:val="none"/>
        </w:rPr>
      </w:r>
      <w:r w:rsidRPr="00C54943">
        <w:rPr>
          <w:rFonts w:ascii="Calibri" w:eastAsia="MS Mincho" w:hAnsi="Calibri" w:cs="Calibri"/>
          <w:b/>
          <w:bCs/>
          <w:caps/>
          <w:kern w:val="0"/>
          <w:sz w:val="20"/>
          <w:szCs w:val="20"/>
          <w14:ligatures w14:val="none"/>
        </w:rPr>
        <w:fldChar w:fldCharType="separate"/>
      </w:r>
      <w:r w:rsidRPr="00C54943">
        <w:rPr>
          <w:rFonts w:ascii="Calibri" w:eastAsia="MS Mincho" w:hAnsi="Calibri" w:cs="Calibri"/>
          <w:b/>
          <w:bCs/>
          <w:caps/>
          <w:kern w:val="0"/>
          <w:sz w:val="20"/>
          <w:szCs w:val="20"/>
          <w14:ligatures w14:val="none"/>
        </w:rPr>
        <w:t>5</w:t>
      </w:r>
      <w:r w:rsidRPr="00C54943">
        <w:rPr>
          <w:rFonts w:ascii="Calibri" w:eastAsia="MS Mincho" w:hAnsi="Calibri" w:cs="Calibri"/>
          <w:b/>
          <w:bCs/>
          <w:caps/>
          <w:kern w:val="0"/>
          <w:sz w:val="20"/>
          <w:szCs w:val="20"/>
          <w14:ligatures w14:val="none"/>
        </w:rPr>
        <w:fldChar w:fldCharType="end"/>
      </w:r>
    </w:p>
    <w:p w14:paraId="788134B2" w14:textId="77777777" w:rsidR="00892990" w:rsidRPr="00C54943" w:rsidRDefault="00892990" w:rsidP="00892990">
      <w:pPr>
        <w:tabs>
          <w:tab w:val="left" w:pos="450"/>
          <w:tab w:val="right" w:leader="dot" w:pos="9736"/>
        </w:tabs>
        <w:spacing w:before="120" w:after="120" w:line="240" w:lineRule="auto"/>
        <w:rPr>
          <w:rFonts w:ascii="Calibri" w:eastAsia="MS Mincho" w:hAnsi="Calibri" w:cs="Calibri"/>
          <w:b/>
          <w:bCs/>
          <w:caps/>
          <w:kern w:val="0"/>
          <w:sz w:val="20"/>
          <w:szCs w:val="20"/>
          <w:lang w:eastAsia="ja-JP"/>
          <w14:ligatures w14:val="none"/>
        </w:rPr>
      </w:pPr>
      <w:r w:rsidRPr="00C54943">
        <w:rPr>
          <w:rFonts w:ascii="Calibri" w:eastAsia="MS Mincho" w:hAnsi="Calibri" w:cs="Calibri"/>
          <w:b/>
          <w:bCs/>
          <w:caps/>
          <w:kern w:val="0"/>
          <w:sz w:val="20"/>
          <w:szCs w:val="20"/>
          <w:lang w:val="en-GB"/>
          <w14:ligatures w14:val="none"/>
        </w:rPr>
        <w:t>VII.</w:t>
      </w:r>
      <w:r w:rsidRPr="00C54943">
        <w:rPr>
          <w:rFonts w:ascii="Calibri" w:eastAsia="MS Mincho" w:hAnsi="Calibri" w:cs="Calibri"/>
          <w:b/>
          <w:bCs/>
          <w:caps/>
          <w:kern w:val="0"/>
          <w:sz w:val="20"/>
          <w:szCs w:val="20"/>
          <w:lang w:eastAsia="ja-JP"/>
          <w14:ligatures w14:val="none"/>
        </w:rPr>
        <w:tab/>
      </w:r>
      <w:r w:rsidRPr="00C54943">
        <w:rPr>
          <w:rFonts w:ascii="Calibri" w:eastAsia="MS Mincho" w:hAnsi="Calibri" w:cs="Calibri"/>
          <w:b/>
          <w:bCs/>
          <w:caps/>
          <w:kern w:val="0"/>
          <w:sz w:val="20"/>
          <w:szCs w:val="20"/>
          <w:lang w:val="en-GB"/>
          <w14:ligatures w14:val="none"/>
        </w:rPr>
        <w:t>Financial Status</w:t>
      </w:r>
      <w:r w:rsidRPr="00C54943">
        <w:rPr>
          <w:rFonts w:ascii="Calibri" w:eastAsia="MS Mincho" w:hAnsi="Calibri" w:cs="Calibri"/>
          <w:b/>
          <w:bCs/>
          <w:caps/>
          <w:kern w:val="0"/>
          <w:sz w:val="20"/>
          <w:szCs w:val="20"/>
          <w14:ligatures w14:val="none"/>
        </w:rPr>
        <w:tab/>
      </w:r>
      <w:r w:rsidRPr="00C54943">
        <w:rPr>
          <w:rFonts w:ascii="Calibri" w:eastAsia="MS Mincho" w:hAnsi="Calibri" w:cs="Calibri"/>
          <w:b/>
          <w:bCs/>
          <w:caps/>
          <w:kern w:val="0"/>
          <w:sz w:val="20"/>
          <w:szCs w:val="20"/>
          <w14:ligatures w14:val="none"/>
        </w:rPr>
        <w:fldChar w:fldCharType="begin"/>
      </w:r>
      <w:r w:rsidRPr="00C54943">
        <w:rPr>
          <w:rFonts w:ascii="Calibri" w:eastAsia="MS Mincho" w:hAnsi="Calibri" w:cs="Calibri"/>
          <w:b/>
          <w:bCs/>
          <w:caps/>
          <w:kern w:val="0"/>
          <w:sz w:val="20"/>
          <w:szCs w:val="20"/>
          <w14:ligatures w14:val="none"/>
        </w:rPr>
        <w:instrText xml:space="preserve"> PAGEREF _Toc366161043 \h </w:instrText>
      </w:r>
      <w:r w:rsidRPr="00C54943">
        <w:rPr>
          <w:rFonts w:ascii="Calibri" w:eastAsia="MS Mincho" w:hAnsi="Calibri" w:cs="Calibri"/>
          <w:b/>
          <w:bCs/>
          <w:caps/>
          <w:kern w:val="0"/>
          <w:sz w:val="20"/>
          <w:szCs w:val="20"/>
          <w14:ligatures w14:val="none"/>
        </w:rPr>
      </w:r>
      <w:r w:rsidRPr="00C54943">
        <w:rPr>
          <w:rFonts w:ascii="Calibri" w:eastAsia="MS Mincho" w:hAnsi="Calibri" w:cs="Calibri"/>
          <w:b/>
          <w:bCs/>
          <w:caps/>
          <w:kern w:val="0"/>
          <w:sz w:val="20"/>
          <w:szCs w:val="20"/>
          <w14:ligatures w14:val="none"/>
        </w:rPr>
        <w:fldChar w:fldCharType="separate"/>
      </w:r>
      <w:r w:rsidRPr="00C54943">
        <w:rPr>
          <w:rFonts w:ascii="Calibri" w:eastAsia="MS Mincho" w:hAnsi="Calibri" w:cs="Calibri"/>
          <w:b/>
          <w:bCs/>
          <w:caps/>
          <w:kern w:val="0"/>
          <w:sz w:val="20"/>
          <w:szCs w:val="20"/>
          <w14:ligatures w14:val="none"/>
        </w:rPr>
        <w:t>6</w:t>
      </w:r>
      <w:r w:rsidRPr="00C54943">
        <w:rPr>
          <w:rFonts w:ascii="Calibri" w:eastAsia="MS Mincho" w:hAnsi="Calibri" w:cs="Calibri"/>
          <w:b/>
          <w:bCs/>
          <w:caps/>
          <w:kern w:val="0"/>
          <w:sz w:val="20"/>
          <w:szCs w:val="20"/>
          <w14:ligatures w14:val="none"/>
        </w:rPr>
        <w:fldChar w:fldCharType="end"/>
      </w:r>
    </w:p>
    <w:p w14:paraId="0FCF8F85" w14:textId="77777777" w:rsidR="00892990" w:rsidRPr="00C54943" w:rsidRDefault="00892990" w:rsidP="00892990">
      <w:pPr>
        <w:tabs>
          <w:tab w:val="left" w:pos="450"/>
          <w:tab w:val="right" w:leader="dot" w:pos="9736"/>
        </w:tabs>
        <w:spacing w:before="120" w:after="120" w:line="240" w:lineRule="auto"/>
        <w:rPr>
          <w:rFonts w:ascii="Calibri" w:eastAsia="MS Mincho" w:hAnsi="Calibri" w:cs="Calibri"/>
          <w:b/>
          <w:bCs/>
          <w:caps/>
          <w:kern w:val="0"/>
          <w:sz w:val="20"/>
          <w:szCs w:val="20"/>
          <w:lang w:eastAsia="ja-JP"/>
          <w14:ligatures w14:val="none"/>
        </w:rPr>
      </w:pPr>
      <w:r w:rsidRPr="00C54943">
        <w:rPr>
          <w:rFonts w:ascii="Calibri" w:eastAsia="MS Mincho" w:hAnsi="Calibri" w:cs="Calibri"/>
          <w:b/>
          <w:bCs/>
          <w:caps/>
          <w:kern w:val="0"/>
          <w:sz w:val="20"/>
          <w:szCs w:val="20"/>
          <w:lang w:val="en-GB"/>
          <w14:ligatures w14:val="none"/>
        </w:rPr>
        <w:t>VIII.</w:t>
      </w:r>
      <w:r w:rsidRPr="00C54943">
        <w:rPr>
          <w:rFonts w:ascii="Calibri" w:eastAsia="MS Mincho" w:hAnsi="Calibri" w:cs="Calibri"/>
          <w:b/>
          <w:bCs/>
          <w:caps/>
          <w:kern w:val="0"/>
          <w:sz w:val="20"/>
          <w:szCs w:val="20"/>
          <w:lang w:eastAsia="ja-JP"/>
          <w14:ligatures w14:val="none"/>
        </w:rPr>
        <w:tab/>
      </w:r>
      <w:r w:rsidRPr="00C54943">
        <w:rPr>
          <w:rFonts w:ascii="Calibri" w:eastAsia="MS Mincho" w:hAnsi="Calibri" w:cs="Calibri"/>
          <w:b/>
          <w:bCs/>
          <w:caps/>
          <w:kern w:val="0"/>
          <w:sz w:val="20"/>
          <w:szCs w:val="20"/>
          <w:lang w:val="en-GB"/>
          <w14:ligatures w14:val="none"/>
        </w:rPr>
        <w:t>Annex</w:t>
      </w:r>
      <w:r w:rsidRPr="00C54943">
        <w:rPr>
          <w:rFonts w:ascii="Calibri" w:eastAsia="MS Mincho" w:hAnsi="Calibri" w:cs="Calibri"/>
          <w:b/>
          <w:bCs/>
          <w:caps/>
          <w:kern w:val="0"/>
          <w:sz w:val="20"/>
          <w:szCs w:val="20"/>
          <w14:ligatures w14:val="none"/>
        </w:rPr>
        <w:tab/>
      </w:r>
      <w:r w:rsidRPr="00C54943">
        <w:rPr>
          <w:rFonts w:ascii="Calibri" w:eastAsia="MS Mincho" w:hAnsi="Calibri" w:cs="Calibri"/>
          <w:b/>
          <w:bCs/>
          <w:caps/>
          <w:kern w:val="0"/>
          <w:sz w:val="20"/>
          <w:szCs w:val="20"/>
          <w14:ligatures w14:val="none"/>
        </w:rPr>
        <w:fldChar w:fldCharType="begin"/>
      </w:r>
      <w:r w:rsidRPr="00C54943">
        <w:rPr>
          <w:rFonts w:ascii="Calibri" w:eastAsia="MS Mincho" w:hAnsi="Calibri" w:cs="Calibri"/>
          <w:b/>
          <w:bCs/>
          <w:caps/>
          <w:kern w:val="0"/>
          <w:sz w:val="20"/>
          <w:szCs w:val="20"/>
          <w14:ligatures w14:val="none"/>
        </w:rPr>
        <w:instrText xml:space="preserve"> PAGEREF _Toc366161044 \h </w:instrText>
      </w:r>
      <w:r w:rsidRPr="00C54943">
        <w:rPr>
          <w:rFonts w:ascii="Calibri" w:eastAsia="MS Mincho" w:hAnsi="Calibri" w:cs="Calibri"/>
          <w:b/>
          <w:bCs/>
          <w:caps/>
          <w:kern w:val="0"/>
          <w:sz w:val="20"/>
          <w:szCs w:val="20"/>
          <w14:ligatures w14:val="none"/>
        </w:rPr>
      </w:r>
      <w:r w:rsidRPr="00C54943">
        <w:rPr>
          <w:rFonts w:ascii="Calibri" w:eastAsia="MS Mincho" w:hAnsi="Calibri" w:cs="Calibri"/>
          <w:b/>
          <w:bCs/>
          <w:caps/>
          <w:kern w:val="0"/>
          <w:sz w:val="20"/>
          <w:szCs w:val="20"/>
          <w14:ligatures w14:val="none"/>
        </w:rPr>
        <w:fldChar w:fldCharType="separate"/>
      </w:r>
      <w:r w:rsidRPr="00C54943">
        <w:rPr>
          <w:rFonts w:ascii="Calibri" w:eastAsia="MS Mincho" w:hAnsi="Calibri" w:cs="Calibri"/>
          <w:b/>
          <w:bCs/>
          <w:caps/>
          <w:kern w:val="0"/>
          <w:sz w:val="20"/>
          <w:szCs w:val="20"/>
          <w14:ligatures w14:val="none"/>
        </w:rPr>
        <w:t>7</w:t>
      </w:r>
      <w:r w:rsidRPr="00C54943">
        <w:rPr>
          <w:rFonts w:ascii="Calibri" w:eastAsia="MS Mincho" w:hAnsi="Calibri" w:cs="Calibri"/>
          <w:b/>
          <w:bCs/>
          <w:caps/>
          <w:kern w:val="0"/>
          <w:sz w:val="20"/>
          <w:szCs w:val="20"/>
          <w14:ligatures w14:val="none"/>
        </w:rPr>
        <w:fldChar w:fldCharType="end"/>
      </w:r>
    </w:p>
    <w:p w14:paraId="28C1A8BA" w14:textId="77777777" w:rsidR="00892990" w:rsidRPr="00C54943" w:rsidRDefault="00892990" w:rsidP="00892990">
      <w:pPr>
        <w:keepNext/>
        <w:keepLines/>
        <w:spacing w:before="480" w:after="0" w:line="276" w:lineRule="auto"/>
        <w:outlineLvl w:val="0"/>
        <w:rPr>
          <w:rFonts w:ascii="Calibri" w:eastAsia="MS Gothic" w:hAnsi="Calibri" w:cs="Calibri"/>
          <w:color w:val="000000"/>
          <w:kern w:val="0"/>
          <w:sz w:val="20"/>
          <w:szCs w:val="20"/>
          <w:lang w:val="en-GB" w:eastAsia="en-GB"/>
          <w14:ligatures w14:val="none"/>
        </w:rPr>
        <w:sectPr w:rsidR="00892990" w:rsidRPr="00C54943" w:rsidSect="00892990">
          <w:footerReference w:type="default" r:id="rId11"/>
          <w:pgSz w:w="11906" w:h="16838" w:code="9"/>
          <w:pgMar w:top="1418" w:right="1418" w:bottom="1134" w:left="1418" w:header="680" w:footer="454" w:gutter="0"/>
          <w:pgNumType w:start="1"/>
          <w:cols w:space="708"/>
          <w:docGrid w:linePitch="360"/>
        </w:sectPr>
      </w:pPr>
      <w:r w:rsidRPr="00C54943">
        <w:rPr>
          <w:rFonts w:ascii="Calibri" w:eastAsia="MS Gothic" w:hAnsi="Calibri" w:cs="Calibri"/>
          <w:b/>
          <w:bCs/>
          <w:caps/>
          <w:kern w:val="0"/>
          <w:sz w:val="20"/>
          <w:szCs w:val="20"/>
          <w:lang w:val="en-GB" w:eastAsia="en-GB"/>
          <w14:ligatures w14:val="none"/>
        </w:rPr>
        <w:fldChar w:fldCharType="end"/>
      </w:r>
    </w:p>
    <w:p w14:paraId="29134E21" w14:textId="7155C13D" w:rsidR="00892990" w:rsidRPr="00C54943" w:rsidRDefault="00892990">
      <w:pPr>
        <w:numPr>
          <w:ilvl w:val="0"/>
          <w:numId w:val="2"/>
        </w:numPr>
        <w:spacing w:after="0" w:line="240" w:lineRule="auto"/>
        <w:rPr>
          <w:rFonts w:ascii="Calibri" w:eastAsia="MS Mincho" w:hAnsi="Calibri" w:cs="Calibri"/>
          <w:kern w:val="0"/>
          <w:sz w:val="20"/>
          <w:szCs w:val="20"/>
          <w:lang w:val="en-GB" w:eastAsia="en-GB"/>
          <w14:ligatures w14:val="none"/>
        </w:rPr>
      </w:pPr>
      <w:bookmarkStart w:id="14" w:name="_Toc366161035"/>
      <w:bookmarkStart w:id="15" w:name="_Toc154140529"/>
      <w:bookmarkStart w:id="16" w:name="_Toc154140584"/>
      <w:bookmarkStart w:id="17" w:name="_Toc154209171"/>
      <w:bookmarkStart w:id="18" w:name="_Toc162356066"/>
      <w:bookmarkStart w:id="19" w:name="_Toc178675984"/>
      <w:r w:rsidRPr="00C54943">
        <w:rPr>
          <w:rFonts w:ascii="Calibri" w:eastAsia="MS Mincho" w:hAnsi="Calibri" w:cs="Calibri"/>
          <w:b/>
          <w:kern w:val="0"/>
          <w:sz w:val="20"/>
          <w:szCs w:val="20"/>
          <w:lang w:val="en-GB" w:eastAsia="en-GB"/>
          <w14:ligatures w14:val="none"/>
        </w:rPr>
        <w:lastRenderedPageBreak/>
        <w:t>Executive summary</w:t>
      </w:r>
      <w:bookmarkEnd w:id="14"/>
    </w:p>
    <w:p w14:paraId="28FE22F4" w14:textId="77777777" w:rsidR="00A45250" w:rsidRPr="00C54943" w:rsidRDefault="00A45250" w:rsidP="00C54943">
      <w:pPr>
        <w:pStyle w:val="NormalWeb"/>
        <w:jc w:val="both"/>
        <w:rPr>
          <w:rFonts w:ascii="Calibri" w:hAnsi="Calibri" w:cs="Calibri"/>
          <w:sz w:val="20"/>
          <w:szCs w:val="20"/>
        </w:rPr>
      </w:pPr>
      <w:r w:rsidRPr="00C54943">
        <w:rPr>
          <w:rFonts w:ascii="Calibri" w:hAnsi="Calibri" w:cs="Calibri"/>
          <w:sz w:val="20"/>
          <w:szCs w:val="20"/>
        </w:rPr>
        <w:t>The HCFC Phase-out Management Plan (HPMP), implemented by the National Ozone Unit (NOU) under the Department of Environment and Climate Change (DECC) with UNDP as the implementing agency for the investment component, has successfully achieved Bhutan’s 2025 HCFC consumption target under the Montreal Protocol.</w:t>
      </w:r>
    </w:p>
    <w:p w14:paraId="21D17FE9" w14:textId="77777777" w:rsidR="00A45250" w:rsidRPr="00C54943" w:rsidRDefault="00A45250" w:rsidP="00C54943">
      <w:pPr>
        <w:pStyle w:val="NormalWeb"/>
        <w:jc w:val="both"/>
        <w:rPr>
          <w:rFonts w:ascii="Calibri" w:hAnsi="Calibri" w:cs="Calibri"/>
          <w:sz w:val="20"/>
          <w:szCs w:val="20"/>
        </w:rPr>
      </w:pPr>
      <w:r w:rsidRPr="00C54943">
        <w:rPr>
          <w:rFonts w:ascii="Calibri" w:hAnsi="Calibri" w:cs="Calibri"/>
          <w:sz w:val="20"/>
          <w:szCs w:val="20"/>
        </w:rPr>
        <w:t>In 2025, Bhutan recorded HCFC consumption of 122 kg (0.122 metric tonnes), equivalent to 0.007 ozone-depleting potential (ODP) tonnes. This meets the final phase-out target established under the HPMP Agreement. Despite higher import requests during the year, the NOU strictly enforced the licensing and quota system, limiting approved imports to remain within the allowable ceiling. This achievement marks a transformational reduction from the baseline of 0.31 ODP tonnes and demonstrates effective regulatory enforcement, market discipline, and institutional coordination. The results were reported to the Multilateral Fund Secretariat through the Country Programme report on 30 March 2026 and will be submitted as Article 7 data to the Ozone Secretariat in June 2026.</w:t>
      </w:r>
    </w:p>
    <w:p w14:paraId="488FF543" w14:textId="77777777" w:rsidR="00A45250" w:rsidRPr="00C54943" w:rsidRDefault="00A45250" w:rsidP="00C54943">
      <w:pPr>
        <w:pStyle w:val="NormalWeb"/>
        <w:jc w:val="both"/>
        <w:rPr>
          <w:rFonts w:ascii="Calibri" w:hAnsi="Calibri" w:cs="Calibri"/>
          <w:sz w:val="20"/>
          <w:szCs w:val="20"/>
        </w:rPr>
      </w:pPr>
      <w:r w:rsidRPr="00C54943">
        <w:rPr>
          <w:rFonts w:ascii="Calibri" w:hAnsi="Calibri" w:cs="Calibri"/>
          <w:sz w:val="20"/>
          <w:szCs w:val="20"/>
        </w:rPr>
        <w:t xml:space="preserve">Under the UNDP component, a National Implementation Modality (NIM) advance of Nu. 1,542,780 was released to support procurement of servicing tools and equipment for recovery and safe handling of refrigerants. </w:t>
      </w:r>
      <w:proofErr w:type="gramStart"/>
      <w:r w:rsidRPr="00C54943">
        <w:rPr>
          <w:rFonts w:ascii="Calibri" w:hAnsi="Calibri" w:cs="Calibri"/>
          <w:sz w:val="20"/>
          <w:szCs w:val="20"/>
        </w:rPr>
        <w:t>The NOU</w:t>
      </w:r>
      <w:proofErr w:type="gramEnd"/>
      <w:r w:rsidRPr="00C54943">
        <w:rPr>
          <w:rFonts w:ascii="Calibri" w:hAnsi="Calibri" w:cs="Calibri"/>
          <w:sz w:val="20"/>
          <w:szCs w:val="20"/>
        </w:rPr>
        <w:t xml:space="preserve"> completed procurement of key equipment, including vacuum pumps, recovery machines, leak detectors, and gauge manifolds. These tools strengthen the capacity of the refrigeration and air-conditioning (RAC) sector to adopt safe servicing practices and prepare for low-global warming potential (GWP) and flammable refrigerants.</w:t>
      </w:r>
    </w:p>
    <w:p w14:paraId="0ABB1DCD" w14:textId="77777777" w:rsidR="00A45250" w:rsidRPr="00C54943" w:rsidRDefault="00A45250" w:rsidP="00C54943">
      <w:pPr>
        <w:pStyle w:val="NormalWeb"/>
        <w:jc w:val="both"/>
        <w:rPr>
          <w:rFonts w:ascii="Calibri" w:hAnsi="Calibri" w:cs="Calibri"/>
          <w:sz w:val="20"/>
          <w:szCs w:val="20"/>
        </w:rPr>
      </w:pPr>
      <w:r w:rsidRPr="00C54943">
        <w:rPr>
          <w:rFonts w:ascii="Calibri" w:hAnsi="Calibri" w:cs="Calibri"/>
          <w:sz w:val="20"/>
          <w:szCs w:val="20"/>
        </w:rPr>
        <w:t>Although minor implementation challenges were encountered, including delays in technical validation and budget prioritization, these did not affect achievement of planned outputs or compliance targets. Adaptive management and close coordination between NOU, Customs, and UNDP ensured timely completion of activities.</w:t>
      </w:r>
    </w:p>
    <w:p w14:paraId="41525234" w14:textId="03FFE32E" w:rsidR="00A45250" w:rsidRPr="00C54943" w:rsidRDefault="00A45250" w:rsidP="00C54943">
      <w:pPr>
        <w:pStyle w:val="NormalWeb"/>
        <w:jc w:val="both"/>
        <w:rPr>
          <w:rFonts w:ascii="Calibri" w:hAnsi="Calibri" w:cs="Calibri"/>
          <w:sz w:val="20"/>
          <w:szCs w:val="20"/>
        </w:rPr>
      </w:pPr>
      <w:proofErr w:type="gramStart"/>
      <w:r w:rsidRPr="00C54943">
        <w:rPr>
          <w:rFonts w:ascii="Calibri" w:hAnsi="Calibri" w:cs="Calibri"/>
          <w:sz w:val="20"/>
          <w:szCs w:val="20"/>
        </w:rPr>
        <w:t>The HPMP</w:t>
      </w:r>
      <w:proofErr w:type="gramEnd"/>
      <w:r w:rsidRPr="00C54943">
        <w:rPr>
          <w:rFonts w:ascii="Calibri" w:hAnsi="Calibri" w:cs="Calibri"/>
          <w:sz w:val="20"/>
          <w:szCs w:val="20"/>
        </w:rPr>
        <w:t xml:space="preserve"> has delivered measurable regulatory, technical, and institutional transformation. With full compliance achieved, Bhutan is now positioned to transition toward implementation of the Kigali Amendment. Continued investment in servicing sector capacity, accurate data reporting, and technical expertise will be critical to sustaining compliance and advancing climate-friendly refrigerant management.</w:t>
      </w:r>
    </w:p>
    <w:p w14:paraId="27FC79CE" w14:textId="77777777" w:rsidR="00A45250" w:rsidRPr="00C54943" w:rsidRDefault="00A45250" w:rsidP="00892990">
      <w:pPr>
        <w:spacing w:after="0" w:line="276" w:lineRule="auto"/>
        <w:rPr>
          <w:rFonts w:ascii="Calibri" w:eastAsia="MS Mincho" w:hAnsi="Calibri" w:cs="Calibri"/>
          <w:kern w:val="0"/>
          <w:sz w:val="20"/>
          <w:szCs w:val="20"/>
          <w:lang w:val="en-GB" w:eastAsia="en-GB"/>
          <w14:ligatures w14:val="none"/>
        </w:rPr>
      </w:pPr>
    </w:p>
    <w:p w14:paraId="7DF8D19F" w14:textId="1B7F3786" w:rsidR="00892990" w:rsidRPr="00C54943" w:rsidRDefault="00892990">
      <w:pPr>
        <w:numPr>
          <w:ilvl w:val="0"/>
          <w:numId w:val="2"/>
        </w:numPr>
        <w:spacing w:after="0" w:line="240" w:lineRule="auto"/>
        <w:rPr>
          <w:rFonts w:ascii="Calibri" w:eastAsia="MS Mincho" w:hAnsi="Calibri" w:cs="Calibri"/>
          <w:kern w:val="0"/>
          <w:sz w:val="20"/>
          <w:szCs w:val="20"/>
          <w:lang w:val="en-GB" w:eastAsia="en-GB"/>
          <w14:ligatures w14:val="none"/>
        </w:rPr>
      </w:pPr>
      <w:bookmarkStart w:id="20" w:name="_Toc366161036"/>
      <w:r w:rsidRPr="00C54943">
        <w:rPr>
          <w:rFonts w:ascii="Calibri" w:eastAsia="MS Mincho" w:hAnsi="Calibri" w:cs="Calibri"/>
          <w:b/>
          <w:kern w:val="0"/>
          <w:sz w:val="20"/>
          <w:szCs w:val="20"/>
          <w:lang w:val="en-GB" w:eastAsia="en-GB"/>
          <w14:ligatures w14:val="none"/>
        </w:rPr>
        <w:t>Background</w:t>
      </w:r>
      <w:bookmarkEnd w:id="20"/>
    </w:p>
    <w:p w14:paraId="25928E5A" w14:textId="77777777" w:rsidR="00162979" w:rsidRPr="00C54943" w:rsidRDefault="00162979" w:rsidP="00162979">
      <w:pPr>
        <w:spacing w:after="0" w:line="240" w:lineRule="auto"/>
        <w:rPr>
          <w:rFonts w:ascii="Calibri" w:eastAsia="MS Mincho" w:hAnsi="Calibri" w:cs="Calibri"/>
          <w:b/>
          <w:kern w:val="0"/>
          <w:sz w:val="20"/>
          <w:szCs w:val="20"/>
          <w:lang w:val="en-GB" w:eastAsia="en-GB"/>
          <w14:ligatures w14:val="none"/>
        </w:rPr>
      </w:pPr>
    </w:p>
    <w:p w14:paraId="6D938068" w14:textId="77777777" w:rsidR="00162979" w:rsidRPr="00C54943" w:rsidRDefault="00162979" w:rsidP="00162979">
      <w:pPr>
        <w:spacing w:after="0" w:line="240" w:lineRule="auto"/>
        <w:jc w:val="both"/>
        <w:rPr>
          <w:rFonts w:ascii="Calibri" w:eastAsia="MS Mincho" w:hAnsi="Calibri" w:cs="Calibri"/>
          <w:kern w:val="0"/>
          <w:sz w:val="20"/>
          <w:szCs w:val="20"/>
          <w:lang w:eastAsia="en-GB"/>
          <w14:ligatures w14:val="none"/>
        </w:rPr>
      </w:pPr>
      <w:r w:rsidRPr="00C54943">
        <w:rPr>
          <w:rFonts w:ascii="Calibri" w:eastAsia="MS Mincho" w:hAnsi="Calibri" w:cs="Calibri"/>
          <w:kern w:val="0"/>
          <w:sz w:val="20"/>
          <w:szCs w:val="20"/>
          <w:lang w:eastAsia="en-GB"/>
          <w14:ligatures w14:val="none"/>
        </w:rPr>
        <w:t>Bhutan’s HCFC Phase-out Management Plan (HPMP) is implemented under the Montreal Protocol to ensure the systematic reduction and eventual phase-out of hydrochlorofluorocarbons (HCFCs) in line with internationally agreed control schedules. The project is executed by the National Ozone Unit (NOU) under the Department of Environment and Climate Change (DECC), with UNDP serving as the implementing agency for the investment component. The HPMP focuses on strengthening regulatory enforcement, enhancing servicing sector capacity, promoting recovery and reclamation practices, and supporting the transition to environmentally sustainable refrigerant alternatives.</w:t>
      </w:r>
    </w:p>
    <w:p w14:paraId="4EB211C9" w14:textId="77777777" w:rsidR="00162979" w:rsidRPr="00C54943" w:rsidRDefault="00162979" w:rsidP="00162979">
      <w:pPr>
        <w:spacing w:after="0" w:line="240" w:lineRule="auto"/>
        <w:jc w:val="both"/>
        <w:rPr>
          <w:rFonts w:ascii="Calibri" w:eastAsia="MS Mincho" w:hAnsi="Calibri" w:cs="Calibri"/>
          <w:kern w:val="0"/>
          <w:sz w:val="20"/>
          <w:szCs w:val="20"/>
          <w:lang w:eastAsia="en-GB"/>
          <w14:ligatures w14:val="none"/>
        </w:rPr>
      </w:pPr>
      <w:r w:rsidRPr="00C54943">
        <w:rPr>
          <w:rFonts w:ascii="Calibri" w:eastAsia="MS Mincho" w:hAnsi="Calibri" w:cs="Calibri"/>
          <w:kern w:val="0"/>
          <w:sz w:val="20"/>
          <w:szCs w:val="20"/>
          <w:lang w:eastAsia="en-GB"/>
          <w14:ligatures w14:val="none"/>
        </w:rPr>
        <w:t>Bhutan established a baseline HCFC consumption of 0.31 ODP tonnes and committed to an accelerated phase-out schedule, targeting near-zero consumption by 1 January 2025. Through a licensing and quota system, capacity-building of refrigeration and air-conditioning (RAC) technicians, and investment in recovery and reclamation equipment, the project aims to ensure compliance while minimizing economic disruption to the servicing sector.</w:t>
      </w:r>
    </w:p>
    <w:p w14:paraId="20613D8A" w14:textId="77777777" w:rsidR="00162979" w:rsidRPr="00C54943" w:rsidRDefault="00162979" w:rsidP="00162979">
      <w:pPr>
        <w:spacing w:after="0" w:line="240" w:lineRule="auto"/>
        <w:jc w:val="both"/>
        <w:rPr>
          <w:rFonts w:ascii="Calibri" w:eastAsia="MS Mincho" w:hAnsi="Calibri" w:cs="Calibri"/>
          <w:kern w:val="0"/>
          <w:sz w:val="20"/>
          <w:szCs w:val="20"/>
          <w:lang w:eastAsia="en-GB"/>
          <w14:ligatures w14:val="none"/>
        </w:rPr>
      </w:pPr>
      <w:r w:rsidRPr="00C54943">
        <w:rPr>
          <w:rFonts w:ascii="Calibri" w:eastAsia="MS Mincho" w:hAnsi="Calibri" w:cs="Calibri"/>
          <w:kern w:val="0"/>
          <w:sz w:val="20"/>
          <w:szCs w:val="20"/>
          <w:lang w:eastAsia="en-GB"/>
          <w14:ligatures w14:val="none"/>
        </w:rPr>
        <w:t>Since the approval of the HPMP, the national context has evolved significantly. Bhutan has now achieved its 2025 HCFC consumption target of 0.007 ODP tonnes, demonstrating effective import control and sectoral compliance. The country is concurrently transitioning toward the phasedown of hydrofluorocarbons (HFCs) under the Kigali Amendment. This transition has shifted the project focus toward safe adoption of low-global warming potential (GWP) and flammable refrigerants, strengthening technical capacity, and improving refrigerant management practices. The integration of recovery, reclamation, and safe handling tools under the UNDP component supports both the completion of HCFC phase-out commitments and readiness for Kigali Implementation Plan (KIP) Stage I.</w:t>
      </w:r>
    </w:p>
    <w:p w14:paraId="4D8291BA" w14:textId="77777777" w:rsidR="00162979" w:rsidRPr="00C54943" w:rsidRDefault="00162979" w:rsidP="00162979">
      <w:pPr>
        <w:spacing w:after="0" w:line="240" w:lineRule="auto"/>
        <w:jc w:val="both"/>
        <w:rPr>
          <w:rFonts w:ascii="Calibri" w:eastAsia="MS Mincho" w:hAnsi="Calibri" w:cs="Calibri"/>
          <w:kern w:val="0"/>
          <w:sz w:val="20"/>
          <w:szCs w:val="20"/>
          <w:lang w:eastAsia="en-GB"/>
          <w14:ligatures w14:val="none"/>
        </w:rPr>
      </w:pPr>
      <w:r w:rsidRPr="00C54943">
        <w:rPr>
          <w:rFonts w:ascii="Calibri" w:eastAsia="MS Mincho" w:hAnsi="Calibri" w:cs="Calibri"/>
          <w:kern w:val="0"/>
          <w:sz w:val="20"/>
          <w:szCs w:val="20"/>
          <w:lang w:eastAsia="en-GB"/>
          <w14:ligatures w14:val="none"/>
        </w:rPr>
        <w:lastRenderedPageBreak/>
        <w:t>The project therefore continues to play a critical role in sustaining compliance with Montreal Protocol obligations while supporting Bhutan’s broader climate mitigation efforts through improved refrigerant management and servicing sector transformation.</w:t>
      </w:r>
    </w:p>
    <w:p w14:paraId="5F803F08" w14:textId="77777777" w:rsidR="00162979" w:rsidRPr="00C54943" w:rsidRDefault="00162979" w:rsidP="00162979">
      <w:pPr>
        <w:spacing w:after="0" w:line="240" w:lineRule="auto"/>
        <w:rPr>
          <w:rFonts w:ascii="Calibri" w:eastAsia="MS Mincho" w:hAnsi="Calibri" w:cs="Calibri"/>
          <w:kern w:val="0"/>
          <w:sz w:val="20"/>
          <w:szCs w:val="20"/>
          <w:lang w:val="en-GB" w:eastAsia="en-GB"/>
          <w14:ligatures w14:val="none"/>
        </w:rPr>
      </w:pPr>
    </w:p>
    <w:p w14:paraId="42225C97" w14:textId="621327A8" w:rsidR="00892990" w:rsidRPr="00C54943" w:rsidRDefault="00892990">
      <w:pPr>
        <w:numPr>
          <w:ilvl w:val="0"/>
          <w:numId w:val="2"/>
        </w:numPr>
        <w:spacing w:after="0" w:line="240" w:lineRule="auto"/>
        <w:rPr>
          <w:rFonts w:ascii="Calibri" w:eastAsia="MS Mincho" w:hAnsi="Calibri" w:cs="Calibri"/>
          <w:kern w:val="0"/>
          <w:sz w:val="20"/>
          <w:szCs w:val="20"/>
          <w:lang w:val="en-GB" w:eastAsia="en-GB"/>
          <w14:ligatures w14:val="none"/>
        </w:rPr>
      </w:pPr>
      <w:bookmarkStart w:id="21" w:name="_Toc366161037"/>
      <w:r w:rsidRPr="00C54943">
        <w:rPr>
          <w:rFonts w:ascii="Calibri" w:eastAsia="MS Mincho" w:hAnsi="Calibri" w:cs="Calibri"/>
          <w:b/>
          <w:kern w:val="0"/>
          <w:sz w:val="20"/>
          <w:szCs w:val="20"/>
          <w:lang w:val="en-GB" w:eastAsia="en-GB"/>
          <w14:ligatures w14:val="none"/>
        </w:rPr>
        <w:t>Pr</w:t>
      </w:r>
      <w:bookmarkEnd w:id="15"/>
      <w:bookmarkEnd w:id="16"/>
      <w:bookmarkEnd w:id="17"/>
      <w:r w:rsidRPr="00C54943">
        <w:rPr>
          <w:rFonts w:ascii="Calibri" w:eastAsia="MS Mincho" w:hAnsi="Calibri" w:cs="Calibri"/>
          <w:b/>
          <w:kern w:val="0"/>
          <w:sz w:val="20"/>
          <w:szCs w:val="20"/>
          <w:lang w:val="en-GB" w:eastAsia="en-GB"/>
          <w14:ligatures w14:val="none"/>
        </w:rPr>
        <w:t>ogress</w:t>
      </w:r>
      <w:bookmarkEnd w:id="18"/>
      <w:bookmarkEnd w:id="19"/>
      <w:r w:rsidRPr="00C54943">
        <w:rPr>
          <w:rFonts w:ascii="Calibri" w:eastAsia="MS Mincho" w:hAnsi="Calibri" w:cs="Calibri"/>
          <w:b/>
          <w:kern w:val="0"/>
          <w:sz w:val="20"/>
          <w:szCs w:val="20"/>
          <w:lang w:val="en-GB" w:eastAsia="en-GB"/>
          <w14:ligatures w14:val="none"/>
        </w:rPr>
        <w:t xml:space="preserve"> Review</w:t>
      </w:r>
      <w:bookmarkEnd w:id="21"/>
    </w:p>
    <w:p w14:paraId="6817E4E0" w14:textId="77777777" w:rsidR="007363CE" w:rsidRPr="00C54943" w:rsidRDefault="007363CE" w:rsidP="007363CE">
      <w:pPr>
        <w:spacing w:line="240" w:lineRule="auto"/>
        <w:contextualSpacing/>
        <w:jc w:val="both"/>
        <w:rPr>
          <w:rFonts w:ascii="Calibri" w:hAnsi="Calibri" w:cs="Calibri"/>
          <w:b/>
          <w:bCs/>
          <w:sz w:val="20"/>
          <w:szCs w:val="20"/>
        </w:rPr>
      </w:pPr>
      <w:r w:rsidRPr="00C54943">
        <w:rPr>
          <w:rFonts w:ascii="Calibri" w:hAnsi="Calibri" w:cs="Calibri"/>
          <w:b/>
          <w:bCs/>
          <w:sz w:val="20"/>
          <w:szCs w:val="20"/>
        </w:rPr>
        <w:t xml:space="preserve">1. Achievement of HCFC Phase-out Target </w:t>
      </w:r>
    </w:p>
    <w:p w14:paraId="77B445A8"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sz w:val="20"/>
          <w:szCs w:val="20"/>
        </w:rPr>
        <w:t>The most significant outcome achieved under the HPMP in 2025 is Bhutan’s successful attainment of the final HCFC consumption target of 0.007 ODP tonnes, in full compliance with the Montreal Protocol phase-out schedule. For 2025, total reported HCFC consumption was 122 kg (0.122 metric tonnes), which corresponds exactly to 0.007 ODP tonnes using the ODP conversion factor.</w:t>
      </w:r>
    </w:p>
    <w:p w14:paraId="59E12787"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sz w:val="20"/>
          <w:szCs w:val="20"/>
        </w:rPr>
        <w:t>The National Ozone Unit (NOU) strictly enforced the licensing and quota system, limiting approved imports to 122 kg despite higher import requests during the year. This proactive quota control ensured that Bhutan remained within its allowable consumption ceiling and achieved complete compliance with its HPMP commitments.</w:t>
      </w:r>
    </w:p>
    <w:p w14:paraId="2DB65CA8"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sz w:val="20"/>
          <w:szCs w:val="20"/>
        </w:rPr>
        <w:t>This result demonstrates a transformational shift from baseline consumption of 0.31 ODP tonnes to near-zero consumption, reflecting strengthened regulatory enforcement, improved monitoring systems, and sector-wide behavioral change among importers and servicing technicians.</w:t>
      </w:r>
    </w:p>
    <w:p w14:paraId="480D611D"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sz w:val="20"/>
          <w:szCs w:val="20"/>
        </w:rPr>
        <w:t xml:space="preserve">The achievement was formally reported to the Multilateral Fund Secretariat through the Country Programme (CP) report on </w:t>
      </w:r>
      <w:proofErr w:type="gramStart"/>
      <w:r w:rsidRPr="00C54943">
        <w:rPr>
          <w:rFonts w:ascii="Calibri" w:hAnsi="Calibri" w:cs="Calibri"/>
          <w:sz w:val="20"/>
          <w:szCs w:val="20"/>
        </w:rPr>
        <w:t>30 March 2026, and</w:t>
      </w:r>
      <w:proofErr w:type="gramEnd"/>
      <w:r w:rsidRPr="00C54943">
        <w:rPr>
          <w:rFonts w:ascii="Calibri" w:hAnsi="Calibri" w:cs="Calibri"/>
          <w:sz w:val="20"/>
          <w:szCs w:val="20"/>
        </w:rPr>
        <w:t xml:space="preserve"> will be reported as Article 7 data to the Ozone Secretariat in June 2026, fulfilling international reporting obligations.</w:t>
      </w:r>
    </w:p>
    <w:p w14:paraId="44536555" w14:textId="77777777" w:rsidR="007363CE" w:rsidRPr="00C54943" w:rsidRDefault="007363CE" w:rsidP="007363CE">
      <w:pPr>
        <w:spacing w:line="240" w:lineRule="auto"/>
        <w:contextualSpacing/>
        <w:jc w:val="both"/>
        <w:rPr>
          <w:rFonts w:ascii="Calibri" w:hAnsi="Calibri" w:cs="Calibri"/>
          <w:b/>
          <w:bCs/>
          <w:sz w:val="20"/>
          <w:szCs w:val="20"/>
        </w:rPr>
      </w:pPr>
      <w:r w:rsidRPr="00C54943">
        <w:rPr>
          <w:rFonts w:ascii="Calibri" w:hAnsi="Calibri" w:cs="Calibri"/>
          <w:b/>
          <w:bCs/>
          <w:sz w:val="20"/>
          <w:szCs w:val="20"/>
        </w:rPr>
        <w:t xml:space="preserve">2. Strengthening Servicing Sector Capacity </w:t>
      </w:r>
    </w:p>
    <w:p w14:paraId="4E6358E0"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sz w:val="20"/>
          <w:szCs w:val="20"/>
        </w:rPr>
        <w:t>In alignment with the 2025 Annual Work Plan (AWP), the UNDP component supported the procurement and distribution of servicing tools and equipment to strengthen safe refrigerant handling practices and prepare the RAC sector for flammable, low-GWP alternatives.</w:t>
      </w:r>
    </w:p>
    <w:p w14:paraId="545571E6"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sz w:val="20"/>
          <w:szCs w:val="20"/>
        </w:rPr>
        <w:t>A total NIM advance of Nu. 1,542,780 was released to the government counterpart (NOU) for execution of planned activities. The NOU completed procurement of prioritized equipment, including:</w:t>
      </w:r>
    </w:p>
    <w:p w14:paraId="6CFF6D4D" w14:textId="77777777" w:rsidR="007363CE" w:rsidRPr="00C54943" w:rsidRDefault="007363CE">
      <w:pPr>
        <w:pStyle w:val="ListParagraph"/>
        <w:numPr>
          <w:ilvl w:val="0"/>
          <w:numId w:val="7"/>
        </w:numPr>
        <w:spacing w:line="240" w:lineRule="auto"/>
        <w:jc w:val="both"/>
        <w:rPr>
          <w:rFonts w:ascii="Calibri" w:hAnsi="Calibri" w:cs="Calibri"/>
          <w:sz w:val="20"/>
          <w:szCs w:val="20"/>
        </w:rPr>
      </w:pPr>
      <w:r w:rsidRPr="00C54943">
        <w:rPr>
          <w:rFonts w:ascii="Calibri" w:hAnsi="Calibri" w:cs="Calibri"/>
          <w:sz w:val="20"/>
          <w:szCs w:val="20"/>
        </w:rPr>
        <w:t xml:space="preserve">20 two-stage vacuum pumps </w:t>
      </w:r>
    </w:p>
    <w:p w14:paraId="1E1120A1" w14:textId="77777777" w:rsidR="007363CE" w:rsidRPr="00C54943" w:rsidRDefault="007363CE">
      <w:pPr>
        <w:pStyle w:val="ListParagraph"/>
        <w:numPr>
          <w:ilvl w:val="0"/>
          <w:numId w:val="7"/>
        </w:numPr>
        <w:spacing w:line="240" w:lineRule="auto"/>
        <w:jc w:val="both"/>
        <w:rPr>
          <w:rFonts w:ascii="Calibri" w:hAnsi="Calibri" w:cs="Calibri"/>
          <w:sz w:val="20"/>
          <w:szCs w:val="20"/>
        </w:rPr>
      </w:pPr>
      <w:r w:rsidRPr="00C54943">
        <w:rPr>
          <w:rFonts w:ascii="Calibri" w:hAnsi="Calibri" w:cs="Calibri"/>
          <w:sz w:val="20"/>
          <w:szCs w:val="20"/>
        </w:rPr>
        <w:t xml:space="preserve">20 flammable refrigerant leak detectors </w:t>
      </w:r>
    </w:p>
    <w:p w14:paraId="121D8B7F" w14:textId="77777777" w:rsidR="007363CE" w:rsidRPr="00C54943" w:rsidRDefault="007363CE">
      <w:pPr>
        <w:pStyle w:val="ListParagraph"/>
        <w:numPr>
          <w:ilvl w:val="0"/>
          <w:numId w:val="7"/>
        </w:numPr>
        <w:spacing w:line="240" w:lineRule="auto"/>
        <w:jc w:val="both"/>
        <w:rPr>
          <w:rFonts w:ascii="Calibri" w:hAnsi="Calibri" w:cs="Calibri"/>
          <w:sz w:val="20"/>
          <w:szCs w:val="20"/>
        </w:rPr>
      </w:pPr>
      <w:r w:rsidRPr="00C54943">
        <w:rPr>
          <w:rFonts w:ascii="Calibri" w:hAnsi="Calibri" w:cs="Calibri"/>
          <w:sz w:val="20"/>
          <w:szCs w:val="20"/>
        </w:rPr>
        <w:t xml:space="preserve">20 four-way gauge manifolds </w:t>
      </w:r>
    </w:p>
    <w:p w14:paraId="127D33CC" w14:textId="77777777" w:rsidR="007363CE" w:rsidRPr="00C54943" w:rsidRDefault="007363CE">
      <w:pPr>
        <w:pStyle w:val="ListParagraph"/>
        <w:numPr>
          <w:ilvl w:val="0"/>
          <w:numId w:val="7"/>
        </w:numPr>
        <w:spacing w:line="240" w:lineRule="auto"/>
        <w:jc w:val="both"/>
        <w:rPr>
          <w:rFonts w:ascii="Calibri" w:hAnsi="Calibri" w:cs="Calibri"/>
          <w:sz w:val="20"/>
          <w:szCs w:val="20"/>
        </w:rPr>
      </w:pPr>
      <w:r w:rsidRPr="00C54943">
        <w:rPr>
          <w:rFonts w:ascii="Calibri" w:hAnsi="Calibri" w:cs="Calibri"/>
          <w:sz w:val="20"/>
          <w:szCs w:val="20"/>
        </w:rPr>
        <w:t xml:space="preserve">20 capillary tube cutters </w:t>
      </w:r>
    </w:p>
    <w:p w14:paraId="6838D679" w14:textId="77777777" w:rsidR="007363CE" w:rsidRPr="00C54943" w:rsidRDefault="007363CE">
      <w:pPr>
        <w:pStyle w:val="ListParagraph"/>
        <w:numPr>
          <w:ilvl w:val="0"/>
          <w:numId w:val="7"/>
        </w:numPr>
        <w:spacing w:line="240" w:lineRule="auto"/>
        <w:jc w:val="both"/>
        <w:rPr>
          <w:rFonts w:ascii="Calibri" w:hAnsi="Calibri" w:cs="Calibri"/>
          <w:sz w:val="20"/>
          <w:szCs w:val="20"/>
        </w:rPr>
      </w:pPr>
      <w:r w:rsidRPr="00C54943">
        <w:rPr>
          <w:rFonts w:ascii="Calibri" w:hAnsi="Calibri" w:cs="Calibri"/>
          <w:sz w:val="20"/>
          <w:szCs w:val="20"/>
        </w:rPr>
        <w:t xml:space="preserve">2 portable recovery machines </w:t>
      </w:r>
    </w:p>
    <w:p w14:paraId="6788D717"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sz w:val="20"/>
          <w:szCs w:val="20"/>
        </w:rPr>
        <w:t>These tools directly support refrigerant containment, leak detection, recovery, and safe servicing practices. The intervention enhances national readiness for the safe adoption of flammable refrigerants, bridging HCFC phase-out and Kigali HFC phase-down implementation.</w:t>
      </w:r>
    </w:p>
    <w:p w14:paraId="07B08638"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sz w:val="20"/>
          <w:szCs w:val="20"/>
        </w:rPr>
        <w:t>This represents a qualitative transformation in servicing standards — shifting from conventional practices to safety-oriented, containment-based servicing aligned with international best practices.</w:t>
      </w:r>
    </w:p>
    <w:p w14:paraId="1A19C54C" w14:textId="77777777" w:rsidR="007363CE" w:rsidRPr="00C54943" w:rsidRDefault="007363CE" w:rsidP="007363CE">
      <w:pPr>
        <w:spacing w:line="240" w:lineRule="auto"/>
        <w:contextualSpacing/>
        <w:jc w:val="both"/>
        <w:rPr>
          <w:rFonts w:ascii="Calibri" w:hAnsi="Calibri" w:cs="Calibri"/>
          <w:b/>
          <w:bCs/>
          <w:sz w:val="20"/>
          <w:szCs w:val="20"/>
        </w:rPr>
      </w:pPr>
      <w:r w:rsidRPr="00C54943">
        <w:rPr>
          <w:rFonts w:ascii="Calibri" w:hAnsi="Calibri" w:cs="Calibri"/>
          <w:b/>
          <w:bCs/>
          <w:sz w:val="20"/>
          <w:szCs w:val="20"/>
        </w:rPr>
        <w:t>3. Institutional and Technical Capacity Enhancement</w:t>
      </w:r>
    </w:p>
    <w:p w14:paraId="69B2BBDD"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sz w:val="20"/>
          <w:szCs w:val="20"/>
        </w:rPr>
        <w:t>The project strengthened institutional capacity through:</w:t>
      </w:r>
    </w:p>
    <w:p w14:paraId="08DE0387"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sz w:val="20"/>
          <w:szCs w:val="20"/>
        </w:rPr>
        <w:t xml:space="preserve">Engagement of an international RAC technical expert for equipment specification and needs assessment; </w:t>
      </w:r>
    </w:p>
    <w:p w14:paraId="4839F748" w14:textId="77777777" w:rsidR="007363CE" w:rsidRPr="00C54943" w:rsidRDefault="007363CE">
      <w:pPr>
        <w:pStyle w:val="ListParagraph"/>
        <w:numPr>
          <w:ilvl w:val="0"/>
          <w:numId w:val="8"/>
        </w:numPr>
        <w:spacing w:line="240" w:lineRule="auto"/>
        <w:jc w:val="both"/>
        <w:rPr>
          <w:rFonts w:ascii="Calibri" w:hAnsi="Calibri" w:cs="Calibri"/>
          <w:sz w:val="20"/>
          <w:szCs w:val="20"/>
        </w:rPr>
      </w:pPr>
      <w:r w:rsidRPr="00C54943">
        <w:rPr>
          <w:rFonts w:ascii="Calibri" w:hAnsi="Calibri" w:cs="Calibri"/>
          <w:sz w:val="20"/>
          <w:szCs w:val="20"/>
        </w:rPr>
        <w:t>Consultations with private technicians and importers;</w:t>
      </w:r>
    </w:p>
    <w:p w14:paraId="72D0698F" w14:textId="77777777" w:rsidR="007363CE" w:rsidRPr="00C54943" w:rsidRDefault="007363CE">
      <w:pPr>
        <w:pStyle w:val="ListParagraph"/>
        <w:numPr>
          <w:ilvl w:val="0"/>
          <w:numId w:val="8"/>
        </w:numPr>
        <w:spacing w:line="240" w:lineRule="auto"/>
        <w:jc w:val="both"/>
        <w:rPr>
          <w:rFonts w:ascii="Calibri" w:hAnsi="Calibri" w:cs="Calibri"/>
          <w:sz w:val="20"/>
          <w:szCs w:val="20"/>
        </w:rPr>
      </w:pPr>
      <w:r w:rsidRPr="00C54943">
        <w:rPr>
          <w:rFonts w:ascii="Calibri" w:hAnsi="Calibri" w:cs="Calibri"/>
          <w:sz w:val="20"/>
          <w:szCs w:val="20"/>
        </w:rPr>
        <w:t xml:space="preserve">Technical validation of equipment requirements in collaboration with the Technical Training Institute (TTI); </w:t>
      </w:r>
    </w:p>
    <w:p w14:paraId="406E7C13" w14:textId="77777777" w:rsidR="007363CE" w:rsidRPr="00C54943" w:rsidRDefault="007363CE">
      <w:pPr>
        <w:pStyle w:val="ListParagraph"/>
        <w:numPr>
          <w:ilvl w:val="0"/>
          <w:numId w:val="8"/>
        </w:numPr>
        <w:spacing w:line="240" w:lineRule="auto"/>
        <w:jc w:val="both"/>
        <w:rPr>
          <w:rFonts w:ascii="Calibri" w:hAnsi="Calibri" w:cs="Calibri"/>
          <w:sz w:val="20"/>
          <w:szCs w:val="20"/>
        </w:rPr>
      </w:pPr>
      <w:r w:rsidRPr="00C54943">
        <w:rPr>
          <w:rFonts w:ascii="Calibri" w:hAnsi="Calibri" w:cs="Calibri"/>
          <w:sz w:val="20"/>
          <w:szCs w:val="20"/>
        </w:rPr>
        <w:t xml:space="preserve">Improved coordination between NOU and servicing stakeholders. </w:t>
      </w:r>
    </w:p>
    <w:p w14:paraId="699AB8BF" w14:textId="77777777" w:rsidR="007363CE" w:rsidRPr="00C54943" w:rsidRDefault="007363CE">
      <w:pPr>
        <w:pStyle w:val="ListParagraph"/>
        <w:numPr>
          <w:ilvl w:val="0"/>
          <w:numId w:val="8"/>
        </w:numPr>
        <w:spacing w:line="240" w:lineRule="auto"/>
        <w:jc w:val="both"/>
        <w:rPr>
          <w:rFonts w:ascii="Calibri" w:hAnsi="Calibri" w:cs="Calibri"/>
          <w:sz w:val="20"/>
          <w:szCs w:val="20"/>
        </w:rPr>
      </w:pPr>
      <w:r w:rsidRPr="00C54943">
        <w:rPr>
          <w:rFonts w:ascii="Calibri" w:hAnsi="Calibri" w:cs="Calibri"/>
          <w:sz w:val="20"/>
          <w:szCs w:val="20"/>
        </w:rPr>
        <w:t>These actions have enhanced national technical preparedness and reduced reliance on ad-hoc servicing practices. The groundwork laid under this tranche also supports upcoming Kigali Implementation Plan (KIP) Stage I activities.</w:t>
      </w:r>
    </w:p>
    <w:p w14:paraId="6FAE5B0A" w14:textId="77777777" w:rsidR="007363CE" w:rsidRPr="00C54943" w:rsidRDefault="007363CE" w:rsidP="007363CE">
      <w:pPr>
        <w:spacing w:line="240" w:lineRule="auto"/>
        <w:contextualSpacing/>
        <w:jc w:val="both"/>
        <w:rPr>
          <w:rFonts w:ascii="Calibri" w:hAnsi="Calibri" w:cs="Calibri"/>
          <w:b/>
          <w:bCs/>
          <w:sz w:val="20"/>
          <w:szCs w:val="20"/>
        </w:rPr>
      </w:pPr>
      <w:r w:rsidRPr="00C54943">
        <w:rPr>
          <w:rFonts w:ascii="Calibri" w:hAnsi="Calibri" w:cs="Calibri"/>
          <w:b/>
          <w:bCs/>
          <w:sz w:val="20"/>
          <w:szCs w:val="20"/>
        </w:rPr>
        <w:t>4. Alignment with CPD, UNDP Strategic Plan and IRRF</w:t>
      </w:r>
    </w:p>
    <w:p w14:paraId="0EE77ECE"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sz w:val="20"/>
          <w:szCs w:val="20"/>
        </w:rPr>
        <w:t>The HPMP results directly contribute to:</w:t>
      </w:r>
    </w:p>
    <w:p w14:paraId="61F8552A"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b/>
          <w:bCs/>
          <w:sz w:val="20"/>
          <w:szCs w:val="20"/>
        </w:rPr>
        <w:t>UNDP Country Programme Document (CPD) Outcome</w:t>
      </w:r>
      <w:r w:rsidRPr="00C54943">
        <w:rPr>
          <w:rFonts w:ascii="Calibri" w:hAnsi="Calibri" w:cs="Calibri"/>
          <w:sz w:val="20"/>
          <w:szCs w:val="20"/>
        </w:rPr>
        <w:t xml:space="preserve">: Environmental sustainability and climate resilience strengthened; </w:t>
      </w:r>
    </w:p>
    <w:p w14:paraId="0EE80C2B"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b/>
          <w:bCs/>
          <w:sz w:val="20"/>
          <w:szCs w:val="20"/>
        </w:rPr>
        <w:t>UNDP Strategic Plan Signature Solution 3</w:t>
      </w:r>
      <w:r w:rsidRPr="00C54943">
        <w:rPr>
          <w:rFonts w:ascii="Calibri" w:hAnsi="Calibri" w:cs="Calibri"/>
          <w:sz w:val="20"/>
          <w:szCs w:val="20"/>
        </w:rPr>
        <w:t xml:space="preserve">: Climate change mitigation and sustainable development pathways; </w:t>
      </w:r>
    </w:p>
    <w:p w14:paraId="77279447"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b/>
          <w:bCs/>
          <w:sz w:val="20"/>
          <w:szCs w:val="20"/>
        </w:rPr>
        <w:lastRenderedPageBreak/>
        <w:t>Integrated Results and Resources Framework (IRRF):</w:t>
      </w:r>
      <w:r w:rsidRPr="00C54943">
        <w:rPr>
          <w:rFonts w:ascii="Calibri" w:hAnsi="Calibri" w:cs="Calibri"/>
          <w:sz w:val="20"/>
          <w:szCs w:val="20"/>
        </w:rPr>
        <w:t xml:space="preserve"> Reduced greenhouse gas emissions through improved refrigerant management and strengthened national compliance systems. </w:t>
      </w:r>
    </w:p>
    <w:p w14:paraId="44704CA6" w14:textId="77777777" w:rsidR="007363CE" w:rsidRPr="00C54943" w:rsidRDefault="007363CE" w:rsidP="007363CE">
      <w:pPr>
        <w:spacing w:line="240" w:lineRule="auto"/>
        <w:contextualSpacing/>
        <w:jc w:val="both"/>
        <w:rPr>
          <w:rFonts w:ascii="Calibri" w:hAnsi="Calibri" w:cs="Calibri"/>
          <w:sz w:val="20"/>
          <w:szCs w:val="20"/>
        </w:rPr>
      </w:pPr>
    </w:p>
    <w:p w14:paraId="233942AA"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sz w:val="20"/>
          <w:szCs w:val="20"/>
        </w:rPr>
        <w:t>By achieving complete compliance with the 2025 HCFC target and strengthening servicing sector capacity, the project contributes to global ozone layer protection while advancing climate mitigation through reduced emissions of ozone-depleting substances.</w:t>
      </w:r>
    </w:p>
    <w:p w14:paraId="66BF3CBC" w14:textId="77777777" w:rsidR="007363CE" w:rsidRPr="00C54943" w:rsidRDefault="007363CE" w:rsidP="007363CE">
      <w:pPr>
        <w:spacing w:line="240" w:lineRule="auto"/>
        <w:contextualSpacing/>
        <w:jc w:val="both"/>
        <w:rPr>
          <w:rFonts w:ascii="Calibri" w:hAnsi="Calibri" w:cs="Calibri"/>
          <w:b/>
          <w:bCs/>
          <w:sz w:val="20"/>
          <w:szCs w:val="20"/>
        </w:rPr>
      </w:pPr>
      <w:r w:rsidRPr="00C54943">
        <w:rPr>
          <w:rFonts w:ascii="Calibri" w:hAnsi="Calibri" w:cs="Calibri"/>
          <w:b/>
          <w:bCs/>
          <w:sz w:val="20"/>
          <w:szCs w:val="20"/>
        </w:rPr>
        <w:t>5. Transformational Change Achieved</w:t>
      </w:r>
    </w:p>
    <w:p w14:paraId="5189F55A" w14:textId="77777777" w:rsidR="007363CE" w:rsidRPr="00C54943" w:rsidRDefault="007363CE" w:rsidP="007363CE">
      <w:pPr>
        <w:spacing w:line="240" w:lineRule="auto"/>
        <w:contextualSpacing/>
        <w:jc w:val="both"/>
        <w:rPr>
          <w:rFonts w:ascii="Calibri" w:hAnsi="Calibri" w:cs="Calibri"/>
          <w:sz w:val="20"/>
          <w:szCs w:val="20"/>
        </w:rPr>
      </w:pPr>
      <w:r w:rsidRPr="00C54943">
        <w:rPr>
          <w:rFonts w:ascii="Calibri" w:hAnsi="Calibri" w:cs="Calibri"/>
          <w:sz w:val="20"/>
          <w:szCs w:val="20"/>
        </w:rPr>
        <w:t xml:space="preserve">The project has delivered measurable transformational </w:t>
      </w:r>
      <w:proofErr w:type="gramStart"/>
      <w:r w:rsidRPr="00C54943">
        <w:rPr>
          <w:rFonts w:ascii="Calibri" w:hAnsi="Calibri" w:cs="Calibri"/>
          <w:sz w:val="20"/>
          <w:szCs w:val="20"/>
        </w:rPr>
        <w:t>change</w:t>
      </w:r>
      <w:proofErr w:type="gramEnd"/>
      <w:r w:rsidRPr="00C54943">
        <w:rPr>
          <w:rFonts w:ascii="Calibri" w:hAnsi="Calibri" w:cs="Calibri"/>
          <w:sz w:val="20"/>
          <w:szCs w:val="20"/>
        </w:rPr>
        <w:t xml:space="preserve"> across three levels:</w:t>
      </w:r>
    </w:p>
    <w:p w14:paraId="34965D9B" w14:textId="77777777" w:rsidR="007363CE" w:rsidRPr="00C54943" w:rsidRDefault="007363CE">
      <w:pPr>
        <w:pStyle w:val="ListParagraph"/>
        <w:numPr>
          <w:ilvl w:val="0"/>
          <w:numId w:val="9"/>
        </w:numPr>
        <w:spacing w:line="240" w:lineRule="auto"/>
        <w:jc w:val="both"/>
        <w:rPr>
          <w:rFonts w:ascii="Calibri" w:hAnsi="Calibri" w:cs="Calibri"/>
          <w:sz w:val="20"/>
          <w:szCs w:val="20"/>
        </w:rPr>
      </w:pPr>
      <w:r w:rsidRPr="00C54943">
        <w:rPr>
          <w:rFonts w:ascii="Calibri" w:hAnsi="Calibri" w:cs="Calibri"/>
          <w:sz w:val="20"/>
          <w:szCs w:val="20"/>
        </w:rPr>
        <w:t xml:space="preserve">Regulatory Transformation: From controlled reduction to full compliance with phase-out targets. </w:t>
      </w:r>
    </w:p>
    <w:p w14:paraId="0791C9F8" w14:textId="77777777" w:rsidR="007363CE" w:rsidRPr="00C54943" w:rsidRDefault="007363CE">
      <w:pPr>
        <w:pStyle w:val="ListParagraph"/>
        <w:numPr>
          <w:ilvl w:val="0"/>
          <w:numId w:val="9"/>
        </w:numPr>
        <w:spacing w:line="240" w:lineRule="auto"/>
        <w:jc w:val="both"/>
        <w:rPr>
          <w:rFonts w:ascii="Calibri" w:hAnsi="Calibri" w:cs="Calibri"/>
          <w:sz w:val="20"/>
          <w:szCs w:val="20"/>
        </w:rPr>
      </w:pPr>
      <w:r w:rsidRPr="00C54943">
        <w:rPr>
          <w:rFonts w:ascii="Calibri" w:hAnsi="Calibri" w:cs="Calibri"/>
          <w:sz w:val="20"/>
          <w:szCs w:val="20"/>
        </w:rPr>
        <w:t xml:space="preserve">Market Transformation: Strict quota enforcement reshaped import behavior and aligned market demand with national targets. </w:t>
      </w:r>
    </w:p>
    <w:p w14:paraId="7EFDED95" w14:textId="77777777" w:rsidR="007363CE" w:rsidRPr="00C54943" w:rsidRDefault="007363CE">
      <w:pPr>
        <w:pStyle w:val="ListParagraph"/>
        <w:numPr>
          <w:ilvl w:val="0"/>
          <w:numId w:val="9"/>
        </w:numPr>
        <w:spacing w:line="240" w:lineRule="auto"/>
        <w:jc w:val="both"/>
        <w:rPr>
          <w:rFonts w:ascii="Calibri" w:hAnsi="Calibri" w:cs="Calibri"/>
          <w:sz w:val="20"/>
          <w:szCs w:val="20"/>
        </w:rPr>
      </w:pPr>
      <w:r w:rsidRPr="00C54943">
        <w:rPr>
          <w:rFonts w:ascii="Calibri" w:hAnsi="Calibri" w:cs="Calibri"/>
          <w:sz w:val="20"/>
          <w:szCs w:val="20"/>
        </w:rPr>
        <w:t xml:space="preserve">Technical Transformation: Introduction of specialized tools for flammable refrigerants elevates servicing standards and supports long-term sustainability. </w:t>
      </w:r>
    </w:p>
    <w:p w14:paraId="2B9C9A5C" w14:textId="55DE6BCF" w:rsidR="00892990" w:rsidRPr="00C54943" w:rsidRDefault="007363CE" w:rsidP="00162979">
      <w:pPr>
        <w:spacing w:line="240" w:lineRule="auto"/>
        <w:contextualSpacing/>
        <w:jc w:val="both"/>
        <w:rPr>
          <w:rFonts w:ascii="Calibri" w:hAnsi="Calibri" w:cs="Calibri"/>
          <w:sz w:val="20"/>
          <w:szCs w:val="20"/>
        </w:rPr>
      </w:pPr>
      <w:r w:rsidRPr="00C54943">
        <w:rPr>
          <w:rFonts w:ascii="Calibri" w:hAnsi="Calibri" w:cs="Calibri"/>
          <w:sz w:val="20"/>
          <w:szCs w:val="20"/>
        </w:rPr>
        <w:t>Bhutan’s achievement of the 2025 target ahead of the global HCFC phase-out deadline demonstrates strong national ownership, effective coordination between NOU and UNDP, and sustained commitment to environmental compliance.</w:t>
      </w:r>
    </w:p>
    <w:p w14:paraId="4234AFAC" w14:textId="100BD872" w:rsidR="00892990" w:rsidRPr="00EE39A2" w:rsidRDefault="00892990">
      <w:pPr>
        <w:numPr>
          <w:ilvl w:val="0"/>
          <w:numId w:val="2"/>
        </w:numPr>
        <w:spacing w:after="0" w:line="240" w:lineRule="auto"/>
        <w:rPr>
          <w:rFonts w:ascii="Calibri" w:eastAsia="MS Mincho" w:hAnsi="Calibri" w:cs="Calibri"/>
          <w:kern w:val="0"/>
          <w:sz w:val="20"/>
          <w:szCs w:val="20"/>
          <w:lang w:val="en-GB" w:eastAsia="en-GB"/>
          <w14:ligatures w14:val="none"/>
        </w:rPr>
      </w:pPr>
      <w:bookmarkStart w:id="22" w:name="_Toc162356063"/>
      <w:bookmarkStart w:id="23" w:name="_Toc178675987"/>
      <w:bookmarkStart w:id="24" w:name="_Toc366161038"/>
      <w:r w:rsidRPr="00C54943">
        <w:rPr>
          <w:rFonts w:ascii="Calibri" w:eastAsia="MS Mincho" w:hAnsi="Calibri" w:cs="Calibri"/>
          <w:b/>
          <w:kern w:val="0"/>
          <w:sz w:val="20"/>
          <w:szCs w:val="20"/>
          <w:lang w:val="en-GB" w:eastAsia="en-GB"/>
          <w14:ligatures w14:val="none"/>
        </w:rPr>
        <w:t>Project Risks and Issue</w:t>
      </w:r>
      <w:bookmarkEnd w:id="22"/>
      <w:bookmarkEnd w:id="23"/>
      <w:bookmarkEnd w:id="24"/>
    </w:p>
    <w:p w14:paraId="2580282E"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40923192" w14:textId="77777777" w:rsidR="00892990" w:rsidRPr="00C54943" w:rsidRDefault="00892990">
      <w:pPr>
        <w:numPr>
          <w:ilvl w:val="0"/>
          <w:numId w:val="3"/>
        </w:numPr>
        <w:spacing w:after="0" w:line="240" w:lineRule="auto"/>
        <w:rPr>
          <w:rFonts w:ascii="Calibri" w:eastAsia="MS Mincho" w:hAnsi="Calibri" w:cs="Calibri"/>
          <w:kern w:val="0"/>
          <w:sz w:val="20"/>
          <w:szCs w:val="20"/>
          <w:lang w:val="en-GB" w:eastAsia="en-GB"/>
          <w14:ligatures w14:val="none"/>
        </w:rPr>
      </w:pPr>
      <w:bookmarkStart w:id="25" w:name="_Toc162356064"/>
      <w:bookmarkStart w:id="26" w:name="_Toc178675988"/>
      <w:bookmarkStart w:id="27" w:name="_Toc366161039"/>
      <w:r w:rsidRPr="00C54943">
        <w:rPr>
          <w:rFonts w:ascii="Calibri" w:eastAsia="MS Mincho" w:hAnsi="Calibri" w:cs="Calibri"/>
          <w:b/>
          <w:kern w:val="0"/>
          <w:sz w:val="20"/>
          <w:szCs w:val="20"/>
          <w:lang w:val="en-GB" w:eastAsia="en-GB"/>
          <w14:ligatures w14:val="none"/>
        </w:rPr>
        <w:t>Updated project risks and actions</w:t>
      </w:r>
      <w:bookmarkEnd w:id="25"/>
      <w:bookmarkEnd w:id="26"/>
      <w:bookmarkEnd w:id="27"/>
    </w:p>
    <w:p w14:paraId="4384851B"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66EC6C58" w14:textId="77777777" w:rsidR="004917B8" w:rsidRPr="00C54943" w:rsidRDefault="004917B8" w:rsidP="004917B8">
      <w:pPr>
        <w:spacing w:line="240" w:lineRule="auto"/>
        <w:contextualSpacing/>
        <w:jc w:val="both"/>
        <w:rPr>
          <w:rFonts w:ascii="Calibri" w:hAnsi="Calibri" w:cs="Calibri"/>
          <w:sz w:val="20"/>
          <w:szCs w:val="20"/>
        </w:rPr>
      </w:pPr>
      <w:r w:rsidRPr="00C54943">
        <w:rPr>
          <w:rFonts w:ascii="Calibri" w:hAnsi="Calibri" w:cs="Calibri"/>
          <w:sz w:val="20"/>
          <w:szCs w:val="20"/>
        </w:rPr>
        <w:t>Overall, the risks identified in the Project Document remained manageable and did not materially affect the achievement of project outcomes. Adaptive management, close coordination between UNDP and the National Ozone Unit, and proactive regulatory enforcement ensured that implementation remained on track.</w:t>
      </w:r>
    </w:p>
    <w:p w14:paraId="17056009" w14:textId="77777777" w:rsidR="004917B8" w:rsidRPr="00C54943" w:rsidRDefault="004917B8" w:rsidP="004917B8">
      <w:pPr>
        <w:spacing w:line="240" w:lineRule="auto"/>
        <w:contextualSpacing/>
        <w:jc w:val="both"/>
        <w:rPr>
          <w:rFonts w:ascii="Calibri" w:hAnsi="Calibri" w:cs="Calibri"/>
          <w:sz w:val="20"/>
          <w:szCs w:val="20"/>
        </w:rPr>
      </w:pPr>
      <w:r w:rsidRPr="00C54943">
        <w:rPr>
          <w:rFonts w:ascii="Calibri" w:hAnsi="Calibri" w:cs="Calibri"/>
          <w:sz w:val="20"/>
          <w:szCs w:val="20"/>
        </w:rPr>
        <w:t xml:space="preserve">While some implementation challenges were encountered, they did not significantly affect overall project delivery or achievement of </w:t>
      </w:r>
      <w:proofErr w:type="gramStart"/>
      <w:r w:rsidRPr="00C54943">
        <w:rPr>
          <w:rFonts w:ascii="Calibri" w:hAnsi="Calibri" w:cs="Calibri"/>
          <w:sz w:val="20"/>
          <w:szCs w:val="20"/>
        </w:rPr>
        <w:t>targets, and</w:t>
      </w:r>
      <w:proofErr w:type="gramEnd"/>
      <w:r w:rsidRPr="00C54943">
        <w:rPr>
          <w:rFonts w:ascii="Calibri" w:hAnsi="Calibri" w:cs="Calibri"/>
          <w:sz w:val="20"/>
          <w:szCs w:val="20"/>
        </w:rPr>
        <w:t xml:space="preserve"> were addressed through timely mitigation measures.</w:t>
      </w:r>
    </w:p>
    <w:p w14:paraId="4441FA9B" w14:textId="77777777" w:rsidR="004917B8" w:rsidRPr="00C54943" w:rsidRDefault="004917B8" w:rsidP="004917B8">
      <w:pPr>
        <w:spacing w:line="240" w:lineRule="auto"/>
        <w:contextualSpacing/>
        <w:jc w:val="both"/>
        <w:rPr>
          <w:rFonts w:ascii="Calibri" w:hAnsi="Calibri" w:cs="Calibri"/>
          <w:b/>
          <w:bCs/>
          <w:sz w:val="20"/>
          <w:szCs w:val="20"/>
        </w:rPr>
      </w:pPr>
      <w:r w:rsidRPr="00C54943">
        <w:rPr>
          <w:rFonts w:ascii="Calibri" w:hAnsi="Calibri" w:cs="Calibri"/>
          <w:b/>
          <w:bCs/>
          <w:sz w:val="20"/>
          <w:szCs w:val="20"/>
        </w:rPr>
        <w:t>1. Risk: Delay in Technical Specification and Procurement</w:t>
      </w:r>
    </w:p>
    <w:p w14:paraId="3237F522" w14:textId="77777777" w:rsidR="004917B8" w:rsidRPr="00C54943" w:rsidRDefault="004917B8" w:rsidP="004917B8">
      <w:pPr>
        <w:spacing w:line="240" w:lineRule="auto"/>
        <w:contextualSpacing/>
        <w:jc w:val="both"/>
        <w:rPr>
          <w:rFonts w:ascii="Calibri" w:hAnsi="Calibri" w:cs="Calibri"/>
          <w:sz w:val="20"/>
          <w:szCs w:val="20"/>
        </w:rPr>
      </w:pPr>
      <w:r w:rsidRPr="00C54943">
        <w:rPr>
          <w:rFonts w:ascii="Calibri" w:hAnsi="Calibri" w:cs="Calibri"/>
          <w:sz w:val="20"/>
          <w:szCs w:val="20"/>
        </w:rPr>
        <w:t>The ProDoc anticipated risks related to limited in-country technical expertise and potential delays in procurement of specialized servicing tools. During the reporting period, the engagement of an international RAC expert took longer than initially planned, resulting in a shift of implementation from Q4 2025 to Q1 2026.</w:t>
      </w:r>
    </w:p>
    <w:p w14:paraId="27C3F79D" w14:textId="77777777" w:rsidR="004917B8" w:rsidRPr="00C54943" w:rsidRDefault="004917B8" w:rsidP="00EE39A2">
      <w:pPr>
        <w:spacing w:line="240" w:lineRule="auto"/>
        <w:contextualSpacing/>
        <w:rPr>
          <w:rFonts w:ascii="Calibri" w:hAnsi="Calibri" w:cs="Calibri"/>
          <w:sz w:val="20"/>
          <w:szCs w:val="20"/>
        </w:rPr>
      </w:pPr>
      <w:r w:rsidRPr="00C54943">
        <w:rPr>
          <w:rFonts w:ascii="Calibri" w:hAnsi="Calibri" w:cs="Calibri"/>
          <w:b/>
          <w:bCs/>
          <w:sz w:val="20"/>
          <w:szCs w:val="20"/>
        </w:rPr>
        <w:t>Mitigation Action:</w:t>
      </w:r>
      <w:r w:rsidRPr="00C54943">
        <w:rPr>
          <w:rFonts w:ascii="Calibri" w:hAnsi="Calibri" w:cs="Calibri"/>
          <w:sz w:val="20"/>
          <w:szCs w:val="20"/>
        </w:rPr>
        <w:br/>
        <w:t>The National Ozone Unit (NOU) expedited the technical consultations and procurement process once the expert was onboarded. Close coordination with the Ministry for budget release and proactive follow-up ensured completion of procurement by February 2026. The delay did not affect achievement of output targets under the Annual Work Plan (AWP).</w:t>
      </w:r>
    </w:p>
    <w:p w14:paraId="23FF08D8" w14:textId="77777777" w:rsidR="004917B8" w:rsidRPr="00C54943" w:rsidRDefault="004917B8" w:rsidP="004917B8">
      <w:pPr>
        <w:spacing w:line="240" w:lineRule="auto"/>
        <w:contextualSpacing/>
        <w:jc w:val="both"/>
        <w:rPr>
          <w:rFonts w:ascii="Calibri" w:hAnsi="Calibri" w:cs="Calibri"/>
          <w:sz w:val="20"/>
          <w:szCs w:val="20"/>
        </w:rPr>
      </w:pPr>
      <w:r w:rsidRPr="00C54943">
        <w:rPr>
          <w:rFonts w:ascii="Calibri" w:hAnsi="Calibri" w:cs="Calibri"/>
          <w:b/>
          <w:bCs/>
          <w:sz w:val="20"/>
          <w:szCs w:val="20"/>
        </w:rPr>
        <w:t>Current Status:</w:t>
      </w:r>
      <w:r w:rsidRPr="00C54943">
        <w:rPr>
          <w:rFonts w:ascii="Calibri" w:hAnsi="Calibri" w:cs="Calibri"/>
          <w:sz w:val="20"/>
          <w:szCs w:val="20"/>
        </w:rPr>
        <w:t xml:space="preserve"> Risk effectively managed; procurement completed and tools deployed.</w:t>
      </w:r>
    </w:p>
    <w:p w14:paraId="0A0312E6" w14:textId="77777777" w:rsidR="004917B8" w:rsidRPr="00C54943" w:rsidRDefault="004917B8" w:rsidP="004917B8">
      <w:pPr>
        <w:spacing w:line="240" w:lineRule="auto"/>
        <w:contextualSpacing/>
        <w:jc w:val="both"/>
        <w:rPr>
          <w:rFonts w:ascii="Calibri" w:hAnsi="Calibri" w:cs="Calibri"/>
          <w:b/>
          <w:bCs/>
          <w:sz w:val="20"/>
          <w:szCs w:val="20"/>
        </w:rPr>
      </w:pPr>
      <w:r w:rsidRPr="00C54943">
        <w:rPr>
          <w:rFonts w:ascii="Calibri" w:hAnsi="Calibri" w:cs="Calibri"/>
          <w:b/>
          <w:bCs/>
          <w:sz w:val="20"/>
          <w:szCs w:val="20"/>
        </w:rPr>
        <w:t>2. Risk: Budget Constraints and Cost Variations</w:t>
      </w:r>
    </w:p>
    <w:p w14:paraId="32F8BF86" w14:textId="77777777" w:rsidR="004917B8" w:rsidRPr="00C54943" w:rsidRDefault="004917B8" w:rsidP="004917B8">
      <w:pPr>
        <w:spacing w:line="240" w:lineRule="auto"/>
        <w:contextualSpacing/>
        <w:jc w:val="both"/>
        <w:rPr>
          <w:rFonts w:ascii="Calibri" w:hAnsi="Calibri" w:cs="Calibri"/>
          <w:sz w:val="20"/>
          <w:szCs w:val="20"/>
        </w:rPr>
      </w:pPr>
      <w:r w:rsidRPr="00C54943">
        <w:rPr>
          <w:rFonts w:ascii="Calibri" w:hAnsi="Calibri" w:cs="Calibri"/>
          <w:sz w:val="20"/>
          <w:szCs w:val="20"/>
        </w:rPr>
        <w:t>The estimated procurement budget exceeded the available tranche allocation. This created a potential risk of incomplete activity implementation.</w:t>
      </w:r>
    </w:p>
    <w:p w14:paraId="0BD8337A" w14:textId="77777777" w:rsidR="004917B8" w:rsidRPr="00C54943" w:rsidRDefault="004917B8" w:rsidP="00EE39A2">
      <w:pPr>
        <w:spacing w:line="240" w:lineRule="auto"/>
        <w:contextualSpacing/>
        <w:rPr>
          <w:rFonts w:ascii="Calibri" w:hAnsi="Calibri" w:cs="Calibri"/>
          <w:sz w:val="20"/>
          <w:szCs w:val="20"/>
        </w:rPr>
      </w:pPr>
      <w:r w:rsidRPr="00C54943">
        <w:rPr>
          <w:rFonts w:ascii="Calibri" w:hAnsi="Calibri" w:cs="Calibri"/>
          <w:b/>
          <w:bCs/>
          <w:sz w:val="20"/>
          <w:szCs w:val="20"/>
        </w:rPr>
        <w:t>Mitigation Action:</w:t>
      </w:r>
      <w:r w:rsidRPr="00C54943">
        <w:rPr>
          <w:rFonts w:ascii="Calibri" w:hAnsi="Calibri" w:cs="Calibri"/>
          <w:sz w:val="20"/>
          <w:szCs w:val="20"/>
        </w:rPr>
        <w:br/>
        <w:t>The NOU prioritized essential equipment that directly supports refrigerant containment and safe handling of flammable alternatives. Non-critical items (valve core removal tools and burr remover tools) were deferred and earmarked for inclusion under the Kigali Implementation Plan (KIP) Stage I.</w:t>
      </w:r>
    </w:p>
    <w:p w14:paraId="003B80DA" w14:textId="77777777" w:rsidR="004917B8" w:rsidRPr="00C54943" w:rsidRDefault="004917B8" w:rsidP="004917B8">
      <w:pPr>
        <w:spacing w:line="240" w:lineRule="auto"/>
        <w:contextualSpacing/>
        <w:jc w:val="both"/>
        <w:rPr>
          <w:rFonts w:ascii="Calibri" w:hAnsi="Calibri" w:cs="Calibri"/>
          <w:sz w:val="20"/>
          <w:szCs w:val="20"/>
        </w:rPr>
      </w:pPr>
      <w:r w:rsidRPr="00C54943">
        <w:rPr>
          <w:rFonts w:ascii="Calibri" w:hAnsi="Calibri" w:cs="Calibri"/>
          <w:b/>
          <w:bCs/>
          <w:sz w:val="20"/>
          <w:szCs w:val="20"/>
        </w:rPr>
        <w:t>Current Status:</w:t>
      </w:r>
      <w:r w:rsidRPr="00C54943">
        <w:rPr>
          <w:rFonts w:ascii="Calibri" w:hAnsi="Calibri" w:cs="Calibri"/>
          <w:sz w:val="20"/>
          <w:szCs w:val="20"/>
        </w:rPr>
        <w:t xml:space="preserve"> Scope adjusted without compromising intended outcomes; no impact on overall servicing capacity strengthening.</w:t>
      </w:r>
    </w:p>
    <w:p w14:paraId="05CAE126" w14:textId="77777777" w:rsidR="004917B8" w:rsidRPr="00C54943" w:rsidRDefault="004917B8" w:rsidP="004917B8">
      <w:pPr>
        <w:spacing w:line="240" w:lineRule="auto"/>
        <w:contextualSpacing/>
        <w:jc w:val="both"/>
        <w:rPr>
          <w:rFonts w:ascii="Calibri" w:hAnsi="Calibri" w:cs="Calibri"/>
          <w:b/>
          <w:bCs/>
          <w:sz w:val="20"/>
          <w:szCs w:val="20"/>
        </w:rPr>
      </w:pPr>
      <w:r w:rsidRPr="00C54943">
        <w:rPr>
          <w:rFonts w:ascii="Calibri" w:hAnsi="Calibri" w:cs="Calibri"/>
          <w:b/>
          <w:bCs/>
          <w:sz w:val="20"/>
          <w:szCs w:val="20"/>
        </w:rPr>
        <w:t>3. Risk: Non-Compliance with HCFC Consumption Targets</w:t>
      </w:r>
    </w:p>
    <w:p w14:paraId="532C19E4" w14:textId="77777777" w:rsidR="004917B8" w:rsidRPr="00C54943" w:rsidRDefault="004917B8" w:rsidP="004917B8">
      <w:pPr>
        <w:spacing w:line="240" w:lineRule="auto"/>
        <w:contextualSpacing/>
        <w:jc w:val="both"/>
        <w:rPr>
          <w:rFonts w:ascii="Calibri" w:hAnsi="Calibri" w:cs="Calibri"/>
          <w:sz w:val="20"/>
          <w:szCs w:val="20"/>
        </w:rPr>
      </w:pPr>
      <w:r w:rsidRPr="00C54943">
        <w:rPr>
          <w:rFonts w:ascii="Calibri" w:hAnsi="Calibri" w:cs="Calibri"/>
          <w:sz w:val="20"/>
          <w:szCs w:val="20"/>
        </w:rPr>
        <w:t>A key risk under the HPMP framework is potential exceedance of annual HCFC consumption ceilings, which could trigger funding penalties under the Multilateral Fund agreement.</w:t>
      </w:r>
    </w:p>
    <w:p w14:paraId="5DEA12AF" w14:textId="77777777" w:rsidR="004917B8" w:rsidRPr="00C54943" w:rsidRDefault="004917B8" w:rsidP="00EE39A2">
      <w:pPr>
        <w:spacing w:line="240" w:lineRule="auto"/>
        <w:contextualSpacing/>
        <w:rPr>
          <w:rFonts w:ascii="Calibri" w:hAnsi="Calibri" w:cs="Calibri"/>
          <w:sz w:val="20"/>
          <w:szCs w:val="20"/>
        </w:rPr>
      </w:pPr>
      <w:r w:rsidRPr="00C54943">
        <w:rPr>
          <w:rFonts w:ascii="Calibri" w:hAnsi="Calibri" w:cs="Calibri"/>
          <w:b/>
          <w:bCs/>
          <w:sz w:val="20"/>
          <w:szCs w:val="20"/>
        </w:rPr>
        <w:t>Mitigation Action:</w:t>
      </w:r>
      <w:r w:rsidRPr="00C54943">
        <w:rPr>
          <w:rFonts w:ascii="Calibri" w:hAnsi="Calibri" w:cs="Calibri"/>
          <w:sz w:val="20"/>
          <w:szCs w:val="20"/>
        </w:rPr>
        <w:br/>
        <w:t xml:space="preserve">The NOU maintained strict enforcement of the licensing and quota system. Despite higher import requests during </w:t>
      </w:r>
      <w:r w:rsidRPr="00C54943">
        <w:rPr>
          <w:rFonts w:ascii="Calibri" w:hAnsi="Calibri" w:cs="Calibri"/>
          <w:sz w:val="20"/>
          <w:szCs w:val="20"/>
        </w:rPr>
        <w:lastRenderedPageBreak/>
        <w:t>the year, approved imports were capped at 122 kg, ensuring consumption remained within the 2025 target of 0.007 ODP tonnes.</w:t>
      </w:r>
    </w:p>
    <w:p w14:paraId="77DBA8E0" w14:textId="77777777" w:rsidR="004917B8" w:rsidRPr="00C54943" w:rsidRDefault="004917B8" w:rsidP="004917B8">
      <w:pPr>
        <w:spacing w:line="240" w:lineRule="auto"/>
        <w:contextualSpacing/>
        <w:jc w:val="both"/>
        <w:rPr>
          <w:rFonts w:ascii="Calibri" w:hAnsi="Calibri" w:cs="Calibri"/>
          <w:sz w:val="20"/>
          <w:szCs w:val="20"/>
        </w:rPr>
      </w:pPr>
      <w:r w:rsidRPr="00C54943">
        <w:rPr>
          <w:rFonts w:ascii="Calibri" w:hAnsi="Calibri" w:cs="Calibri"/>
          <w:b/>
          <w:bCs/>
          <w:sz w:val="20"/>
          <w:szCs w:val="20"/>
        </w:rPr>
        <w:t>Current Status:</w:t>
      </w:r>
      <w:r w:rsidRPr="00C54943">
        <w:rPr>
          <w:rFonts w:ascii="Calibri" w:hAnsi="Calibri" w:cs="Calibri"/>
          <w:sz w:val="20"/>
          <w:szCs w:val="20"/>
        </w:rPr>
        <w:t xml:space="preserve"> Fully mitigated; Bhutan successfully achieved its final HCFC consumption target.</w:t>
      </w:r>
    </w:p>
    <w:p w14:paraId="40EA8965" w14:textId="77777777" w:rsidR="004917B8" w:rsidRPr="00C54943" w:rsidRDefault="004917B8" w:rsidP="004917B8">
      <w:pPr>
        <w:spacing w:line="240" w:lineRule="auto"/>
        <w:contextualSpacing/>
        <w:jc w:val="both"/>
        <w:rPr>
          <w:rFonts w:ascii="Calibri" w:hAnsi="Calibri" w:cs="Calibri"/>
          <w:b/>
          <w:bCs/>
          <w:sz w:val="20"/>
          <w:szCs w:val="20"/>
        </w:rPr>
      </w:pPr>
      <w:r w:rsidRPr="00C54943">
        <w:rPr>
          <w:rFonts w:ascii="Calibri" w:hAnsi="Calibri" w:cs="Calibri"/>
          <w:b/>
          <w:bCs/>
          <w:sz w:val="20"/>
          <w:szCs w:val="20"/>
        </w:rPr>
        <w:t>4. Risk: Limited Adoption of Good Servicing Practices</w:t>
      </w:r>
    </w:p>
    <w:p w14:paraId="00A5B073" w14:textId="77777777" w:rsidR="004917B8" w:rsidRPr="00C54943" w:rsidRDefault="004917B8" w:rsidP="004917B8">
      <w:pPr>
        <w:spacing w:line="240" w:lineRule="auto"/>
        <w:contextualSpacing/>
        <w:jc w:val="both"/>
        <w:rPr>
          <w:rFonts w:ascii="Calibri" w:hAnsi="Calibri" w:cs="Calibri"/>
          <w:sz w:val="20"/>
          <w:szCs w:val="20"/>
        </w:rPr>
      </w:pPr>
      <w:proofErr w:type="gramStart"/>
      <w:r w:rsidRPr="00C54943">
        <w:rPr>
          <w:rFonts w:ascii="Calibri" w:hAnsi="Calibri" w:cs="Calibri"/>
          <w:sz w:val="20"/>
          <w:szCs w:val="20"/>
        </w:rPr>
        <w:t>The ProDoc</w:t>
      </w:r>
      <w:proofErr w:type="gramEnd"/>
      <w:r w:rsidRPr="00C54943">
        <w:rPr>
          <w:rFonts w:ascii="Calibri" w:hAnsi="Calibri" w:cs="Calibri"/>
          <w:sz w:val="20"/>
          <w:szCs w:val="20"/>
        </w:rPr>
        <w:t xml:space="preserve"> highlighted the risk that inadequate tools and technical capacity in the servicing sector could undermine refrigerant containment and recovery efforts.</w:t>
      </w:r>
    </w:p>
    <w:p w14:paraId="6F6EED90" w14:textId="77777777" w:rsidR="004917B8" w:rsidRPr="00C54943" w:rsidRDefault="004917B8" w:rsidP="00EE39A2">
      <w:pPr>
        <w:spacing w:line="240" w:lineRule="auto"/>
        <w:contextualSpacing/>
        <w:rPr>
          <w:rFonts w:ascii="Calibri" w:hAnsi="Calibri" w:cs="Calibri"/>
          <w:sz w:val="20"/>
          <w:szCs w:val="20"/>
        </w:rPr>
      </w:pPr>
      <w:r w:rsidRPr="00C54943">
        <w:rPr>
          <w:rFonts w:ascii="Calibri" w:hAnsi="Calibri" w:cs="Calibri"/>
          <w:b/>
          <w:bCs/>
          <w:sz w:val="20"/>
          <w:szCs w:val="20"/>
        </w:rPr>
        <w:t>Mitigation Action:</w:t>
      </w:r>
      <w:r w:rsidRPr="00C54943">
        <w:rPr>
          <w:rFonts w:ascii="Calibri" w:hAnsi="Calibri" w:cs="Calibri"/>
          <w:sz w:val="20"/>
          <w:szCs w:val="20"/>
        </w:rPr>
        <w:br/>
        <w:t>Through procurement and planned distribution of recovery machines, leak detectors, and servicing tools, the project strengthened practical capacity among independent technicians. Engagement with the Technical Training Institute further supported technical validation and knowledge transfer.</w:t>
      </w:r>
    </w:p>
    <w:p w14:paraId="0D9C9997" w14:textId="77777777" w:rsidR="004917B8" w:rsidRPr="00C54943" w:rsidRDefault="004917B8" w:rsidP="004917B8">
      <w:pPr>
        <w:spacing w:line="240" w:lineRule="auto"/>
        <w:contextualSpacing/>
        <w:jc w:val="both"/>
        <w:rPr>
          <w:rFonts w:ascii="Calibri" w:hAnsi="Calibri" w:cs="Calibri"/>
          <w:sz w:val="20"/>
          <w:szCs w:val="20"/>
        </w:rPr>
      </w:pPr>
      <w:r w:rsidRPr="00C54943">
        <w:rPr>
          <w:rFonts w:ascii="Calibri" w:hAnsi="Calibri" w:cs="Calibri"/>
          <w:b/>
          <w:bCs/>
          <w:sz w:val="20"/>
          <w:szCs w:val="20"/>
        </w:rPr>
        <w:t>Current Status:</w:t>
      </w:r>
      <w:r w:rsidRPr="00C54943">
        <w:rPr>
          <w:rFonts w:ascii="Calibri" w:hAnsi="Calibri" w:cs="Calibri"/>
          <w:sz w:val="20"/>
          <w:szCs w:val="20"/>
        </w:rPr>
        <w:t xml:space="preserve"> Risk reduced; national capacity for safe refrigerant handling strengthened.</w:t>
      </w:r>
    </w:p>
    <w:p w14:paraId="37FD50C5"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0C105782" w14:textId="77777777" w:rsidR="00892990" w:rsidRPr="00C54943" w:rsidRDefault="00892990">
      <w:pPr>
        <w:numPr>
          <w:ilvl w:val="0"/>
          <w:numId w:val="3"/>
        </w:numPr>
        <w:spacing w:after="0" w:line="240" w:lineRule="auto"/>
        <w:rPr>
          <w:rFonts w:ascii="Calibri" w:eastAsia="MS Mincho" w:hAnsi="Calibri" w:cs="Calibri"/>
          <w:kern w:val="0"/>
          <w:sz w:val="20"/>
          <w:szCs w:val="20"/>
          <w:lang w:val="en-GB" w:eastAsia="en-GB"/>
          <w14:ligatures w14:val="none"/>
        </w:rPr>
      </w:pPr>
      <w:bookmarkStart w:id="28" w:name="_Toc162356065"/>
      <w:bookmarkStart w:id="29" w:name="_Toc178675990"/>
      <w:bookmarkStart w:id="30" w:name="_Toc366161040"/>
      <w:r w:rsidRPr="00C54943">
        <w:rPr>
          <w:rFonts w:ascii="Calibri" w:eastAsia="MS Mincho" w:hAnsi="Calibri" w:cs="Calibri"/>
          <w:b/>
          <w:kern w:val="0"/>
          <w:sz w:val="20"/>
          <w:szCs w:val="20"/>
          <w:lang w:val="en-GB" w:eastAsia="en-GB"/>
          <w14:ligatures w14:val="none"/>
        </w:rPr>
        <w:t>Updated project issues and actions</w:t>
      </w:r>
      <w:bookmarkEnd w:id="28"/>
      <w:bookmarkEnd w:id="29"/>
      <w:bookmarkEnd w:id="30"/>
    </w:p>
    <w:p w14:paraId="69F9C3B5"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7DED1CA7" w14:textId="77777777" w:rsidR="00776D88" w:rsidRPr="00C54943" w:rsidRDefault="00776D88" w:rsidP="00776D88">
      <w:pPr>
        <w:spacing w:line="240" w:lineRule="auto"/>
        <w:contextualSpacing/>
        <w:jc w:val="both"/>
        <w:rPr>
          <w:rFonts w:ascii="Calibri" w:hAnsi="Calibri" w:cs="Calibri"/>
          <w:sz w:val="20"/>
          <w:szCs w:val="20"/>
        </w:rPr>
      </w:pPr>
      <w:r w:rsidRPr="00C54943">
        <w:rPr>
          <w:rFonts w:ascii="Calibri" w:hAnsi="Calibri" w:cs="Calibri"/>
          <w:sz w:val="20"/>
          <w:szCs w:val="20"/>
        </w:rPr>
        <w:t>During the reporting period, several operational and technical issues were encountered. However, all were addressed through timely corrective measures and did not adversely affect achievement of project outcomes or compliance targets.</w:t>
      </w:r>
    </w:p>
    <w:p w14:paraId="0C711C52" w14:textId="77777777" w:rsidR="00776D88" w:rsidRPr="00C54943" w:rsidRDefault="00776D88" w:rsidP="00776D88">
      <w:pPr>
        <w:spacing w:line="240" w:lineRule="auto"/>
        <w:contextualSpacing/>
        <w:jc w:val="both"/>
        <w:rPr>
          <w:rFonts w:ascii="Calibri" w:hAnsi="Calibri" w:cs="Calibri"/>
          <w:b/>
          <w:bCs/>
          <w:sz w:val="20"/>
          <w:szCs w:val="20"/>
        </w:rPr>
      </w:pPr>
      <w:r w:rsidRPr="00C54943">
        <w:rPr>
          <w:rFonts w:ascii="Calibri" w:hAnsi="Calibri" w:cs="Calibri"/>
          <w:b/>
          <w:bCs/>
          <w:sz w:val="20"/>
          <w:szCs w:val="20"/>
        </w:rPr>
        <w:t>1. Delay in Engagement of Technical Expert</w:t>
      </w:r>
    </w:p>
    <w:p w14:paraId="6A582DC2" w14:textId="77777777" w:rsidR="00776D88" w:rsidRPr="00C54943" w:rsidRDefault="00776D88" w:rsidP="00776D88">
      <w:pPr>
        <w:spacing w:line="240" w:lineRule="auto"/>
        <w:contextualSpacing/>
        <w:jc w:val="both"/>
        <w:rPr>
          <w:rFonts w:ascii="Calibri" w:hAnsi="Calibri" w:cs="Calibri"/>
          <w:sz w:val="20"/>
          <w:szCs w:val="20"/>
        </w:rPr>
      </w:pPr>
      <w:r w:rsidRPr="00C54943">
        <w:rPr>
          <w:rFonts w:ascii="Calibri" w:hAnsi="Calibri" w:cs="Calibri"/>
          <w:b/>
          <w:bCs/>
          <w:sz w:val="20"/>
          <w:szCs w:val="20"/>
        </w:rPr>
        <w:t>Issue:</w:t>
      </w:r>
      <w:r w:rsidRPr="00C54943">
        <w:rPr>
          <w:rFonts w:ascii="Calibri" w:hAnsi="Calibri" w:cs="Calibri"/>
          <w:sz w:val="20"/>
          <w:szCs w:val="20"/>
        </w:rPr>
        <w:br/>
        <w:t>Procurement of servicing tools required technical validation to ensure compatibility with flammable and low-GWP refrigerants. The engagement of an international RAC expert experienced delays, which shifted implementation from the planned Q4 2025 timeline to Q1 2026.</w:t>
      </w:r>
    </w:p>
    <w:p w14:paraId="53E05F9D" w14:textId="77777777" w:rsidR="00776D88" w:rsidRPr="00C54943" w:rsidRDefault="00776D88" w:rsidP="00776D88">
      <w:pPr>
        <w:spacing w:line="240" w:lineRule="auto"/>
        <w:contextualSpacing/>
        <w:rPr>
          <w:rFonts w:ascii="Calibri" w:hAnsi="Calibri" w:cs="Calibri"/>
          <w:sz w:val="20"/>
          <w:szCs w:val="20"/>
        </w:rPr>
      </w:pPr>
      <w:r w:rsidRPr="00C54943">
        <w:rPr>
          <w:rFonts w:ascii="Calibri" w:hAnsi="Calibri" w:cs="Calibri"/>
          <w:b/>
          <w:bCs/>
          <w:sz w:val="20"/>
          <w:szCs w:val="20"/>
        </w:rPr>
        <w:t>Action Taken:</w:t>
      </w:r>
      <w:r w:rsidRPr="00C54943">
        <w:rPr>
          <w:rFonts w:ascii="Calibri" w:hAnsi="Calibri" w:cs="Calibri"/>
          <w:sz w:val="20"/>
          <w:szCs w:val="20"/>
        </w:rPr>
        <w:br/>
        <w:t>The National Ozone Unit (NOU), in coordination with UNDP, expedited expert consultations and finalized technical specifications. Procurement processes were fast-tracked once specifications were confirmed, and the tools were successfully procured and reported completed in early 2026.</w:t>
      </w:r>
    </w:p>
    <w:p w14:paraId="61C0F8B4" w14:textId="77777777" w:rsidR="00776D88" w:rsidRPr="00C54943" w:rsidRDefault="00776D88" w:rsidP="00776D88">
      <w:pPr>
        <w:spacing w:line="240" w:lineRule="auto"/>
        <w:contextualSpacing/>
        <w:jc w:val="both"/>
        <w:rPr>
          <w:rFonts w:ascii="Calibri" w:hAnsi="Calibri" w:cs="Calibri"/>
          <w:sz w:val="20"/>
          <w:szCs w:val="20"/>
        </w:rPr>
      </w:pPr>
      <w:r w:rsidRPr="00C54943">
        <w:rPr>
          <w:rFonts w:ascii="Calibri" w:hAnsi="Calibri" w:cs="Calibri"/>
          <w:b/>
          <w:bCs/>
          <w:sz w:val="20"/>
          <w:szCs w:val="20"/>
        </w:rPr>
        <w:t>Result:</w:t>
      </w:r>
      <w:r w:rsidRPr="00C54943">
        <w:rPr>
          <w:rFonts w:ascii="Calibri" w:hAnsi="Calibri" w:cs="Calibri"/>
          <w:sz w:val="20"/>
          <w:szCs w:val="20"/>
        </w:rPr>
        <w:br/>
        <w:t>The delay did not affect overall delivery of outputs under the Annual Work Plan, and equipment procurement was completed within the reporting cycle.</w:t>
      </w:r>
    </w:p>
    <w:p w14:paraId="4311F618" w14:textId="77777777" w:rsidR="00776D88" w:rsidRPr="00C54943" w:rsidRDefault="00776D88" w:rsidP="00776D88">
      <w:pPr>
        <w:spacing w:line="240" w:lineRule="auto"/>
        <w:contextualSpacing/>
        <w:jc w:val="both"/>
        <w:rPr>
          <w:rFonts w:ascii="Calibri" w:hAnsi="Calibri" w:cs="Calibri"/>
          <w:b/>
          <w:bCs/>
          <w:sz w:val="20"/>
          <w:szCs w:val="20"/>
        </w:rPr>
      </w:pPr>
      <w:r w:rsidRPr="00C54943">
        <w:rPr>
          <w:rFonts w:ascii="Calibri" w:hAnsi="Calibri" w:cs="Calibri"/>
          <w:b/>
          <w:bCs/>
          <w:sz w:val="20"/>
          <w:szCs w:val="20"/>
        </w:rPr>
        <w:t>2. Budget Limitation under Tranche Allocation</w:t>
      </w:r>
    </w:p>
    <w:p w14:paraId="231AD55B" w14:textId="77777777" w:rsidR="00776D88" w:rsidRPr="00C54943" w:rsidRDefault="00776D88" w:rsidP="00776D88">
      <w:pPr>
        <w:spacing w:line="240" w:lineRule="auto"/>
        <w:contextualSpacing/>
        <w:jc w:val="both"/>
        <w:rPr>
          <w:rFonts w:ascii="Calibri" w:hAnsi="Calibri" w:cs="Calibri"/>
          <w:sz w:val="20"/>
          <w:szCs w:val="20"/>
        </w:rPr>
      </w:pPr>
      <w:r w:rsidRPr="00C54943">
        <w:rPr>
          <w:rFonts w:ascii="Calibri" w:hAnsi="Calibri" w:cs="Calibri"/>
          <w:b/>
          <w:bCs/>
          <w:sz w:val="20"/>
          <w:szCs w:val="20"/>
        </w:rPr>
        <w:t>Issue:</w:t>
      </w:r>
      <w:r w:rsidRPr="00C54943">
        <w:rPr>
          <w:rFonts w:ascii="Calibri" w:hAnsi="Calibri" w:cs="Calibri"/>
          <w:sz w:val="20"/>
          <w:szCs w:val="20"/>
        </w:rPr>
        <w:br/>
        <w:t>The estimated procurement budget exceeded the available NIM advance allocation of Nu. 1,542,780. This created a shortfall for certain non-priority tools (valve core removal tools and burr remover tools).</w:t>
      </w:r>
    </w:p>
    <w:p w14:paraId="5777C758" w14:textId="77777777" w:rsidR="00776D88" w:rsidRPr="00C54943" w:rsidRDefault="00776D88" w:rsidP="00776D88">
      <w:pPr>
        <w:spacing w:line="240" w:lineRule="auto"/>
        <w:contextualSpacing/>
        <w:rPr>
          <w:rFonts w:ascii="Calibri" w:hAnsi="Calibri" w:cs="Calibri"/>
          <w:sz w:val="20"/>
          <w:szCs w:val="20"/>
        </w:rPr>
      </w:pPr>
      <w:r w:rsidRPr="00C54943">
        <w:rPr>
          <w:rFonts w:ascii="Calibri" w:hAnsi="Calibri" w:cs="Calibri"/>
          <w:b/>
          <w:bCs/>
          <w:sz w:val="20"/>
          <w:szCs w:val="20"/>
        </w:rPr>
        <w:t>Action Taken:</w:t>
      </w:r>
      <w:r w:rsidRPr="00C54943">
        <w:rPr>
          <w:rFonts w:ascii="Calibri" w:hAnsi="Calibri" w:cs="Calibri"/>
          <w:sz w:val="20"/>
          <w:szCs w:val="20"/>
        </w:rPr>
        <w:br/>
        <w:t>The NOU prioritized essential equipment directly supporting refrigerant recovery, containment, and flammable refrigerant safety. Deferred tools were strategically earmarked for inclusion under the Kigali Implementation Plan (KIP) Stage I.</w:t>
      </w:r>
    </w:p>
    <w:p w14:paraId="29275928" w14:textId="77777777" w:rsidR="00776D88" w:rsidRPr="00C54943" w:rsidRDefault="00776D88" w:rsidP="00776D88">
      <w:pPr>
        <w:spacing w:line="240" w:lineRule="auto"/>
        <w:contextualSpacing/>
        <w:jc w:val="both"/>
        <w:rPr>
          <w:rFonts w:ascii="Calibri" w:hAnsi="Calibri" w:cs="Calibri"/>
          <w:sz w:val="20"/>
          <w:szCs w:val="20"/>
        </w:rPr>
      </w:pPr>
      <w:r w:rsidRPr="00C54943">
        <w:rPr>
          <w:rFonts w:ascii="Calibri" w:hAnsi="Calibri" w:cs="Calibri"/>
          <w:b/>
          <w:bCs/>
          <w:sz w:val="20"/>
          <w:szCs w:val="20"/>
        </w:rPr>
        <w:t>Result:</w:t>
      </w:r>
      <w:r w:rsidRPr="00C54943">
        <w:rPr>
          <w:rFonts w:ascii="Calibri" w:hAnsi="Calibri" w:cs="Calibri"/>
          <w:sz w:val="20"/>
          <w:szCs w:val="20"/>
        </w:rPr>
        <w:br/>
        <w:t>Core project objectives were achieved without compromising technical outcomes. Budget optimization ensured delivery within available resources.</w:t>
      </w:r>
    </w:p>
    <w:p w14:paraId="6594135E" w14:textId="77777777" w:rsidR="00776D88" w:rsidRPr="00C54943" w:rsidRDefault="00776D88" w:rsidP="00776D88">
      <w:pPr>
        <w:spacing w:line="240" w:lineRule="auto"/>
        <w:contextualSpacing/>
        <w:jc w:val="both"/>
        <w:rPr>
          <w:rFonts w:ascii="Calibri" w:hAnsi="Calibri" w:cs="Calibri"/>
          <w:b/>
          <w:bCs/>
          <w:sz w:val="20"/>
          <w:szCs w:val="20"/>
        </w:rPr>
      </w:pPr>
      <w:r w:rsidRPr="00C54943">
        <w:rPr>
          <w:rFonts w:ascii="Calibri" w:hAnsi="Calibri" w:cs="Calibri"/>
          <w:b/>
          <w:bCs/>
          <w:sz w:val="20"/>
          <w:szCs w:val="20"/>
        </w:rPr>
        <w:t>3. Risk of Exceeding HCFC Consumption Ceiling</w:t>
      </w:r>
    </w:p>
    <w:p w14:paraId="7CB7F40E" w14:textId="77777777" w:rsidR="00776D88" w:rsidRPr="00C54943" w:rsidRDefault="00776D88" w:rsidP="00776D88">
      <w:pPr>
        <w:spacing w:line="240" w:lineRule="auto"/>
        <w:contextualSpacing/>
        <w:rPr>
          <w:rFonts w:ascii="Calibri" w:hAnsi="Calibri" w:cs="Calibri"/>
          <w:sz w:val="20"/>
          <w:szCs w:val="20"/>
        </w:rPr>
      </w:pPr>
      <w:r w:rsidRPr="00C54943">
        <w:rPr>
          <w:rFonts w:ascii="Calibri" w:hAnsi="Calibri" w:cs="Calibri"/>
          <w:b/>
          <w:bCs/>
          <w:sz w:val="20"/>
          <w:szCs w:val="20"/>
        </w:rPr>
        <w:t>Issue:</w:t>
      </w:r>
      <w:r w:rsidRPr="00C54943">
        <w:rPr>
          <w:rFonts w:ascii="Calibri" w:hAnsi="Calibri" w:cs="Calibri"/>
          <w:sz w:val="20"/>
          <w:szCs w:val="20"/>
        </w:rPr>
        <w:br/>
        <w:t>There were requests for HCFC imports exceeding the allowable quota for 2025. Exceeding the quota could have triggered non-compliance under the Montreal Protocol Agreement with the Executive Committee.</w:t>
      </w:r>
    </w:p>
    <w:p w14:paraId="381AC768" w14:textId="77777777" w:rsidR="00776D88" w:rsidRPr="00C54943" w:rsidRDefault="00776D88" w:rsidP="00776D88">
      <w:pPr>
        <w:spacing w:line="240" w:lineRule="auto"/>
        <w:contextualSpacing/>
        <w:rPr>
          <w:rFonts w:ascii="Calibri" w:hAnsi="Calibri" w:cs="Calibri"/>
          <w:sz w:val="20"/>
          <w:szCs w:val="20"/>
        </w:rPr>
      </w:pPr>
      <w:r w:rsidRPr="00C54943">
        <w:rPr>
          <w:rFonts w:ascii="Calibri" w:hAnsi="Calibri" w:cs="Calibri"/>
          <w:b/>
          <w:bCs/>
          <w:sz w:val="20"/>
          <w:szCs w:val="20"/>
        </w:rPr>
        <w:t>Action Taken:</w:t>
      </w:r>
      <w:r w:rsidRPr="00C54943">
        <w:rPr>
          <w:rFonts w:ascii="Calibri" w:hAnsi="Calibri" w:cs="Calibri"/>
          <w:sz w:val="20"/>
          <w:szCs w:val="20"/>
        </w:rPr>
        <w:br/>
        <w:t>The NOU strictly enforced the licensing and quota system, limiting approved HCFC imports to 122 kg. All excess requests were declined to ensure compliance with the 0.007 ODP tonne target.</w:t>
      </w:r>
    </w:p>
    <w:p w14:paraId="7660A03E" w14:textId="77777777" w:rsidR="00776D88" w:rsidRPr="00C54943" w:rsidRDefault="00776D88" w:rsidP="00776D88">
      <w:pPr>
        <w:spacing w:line="240" w:lineRule="auto"/>
        <w:contextualSpacing/>
        <w:jc w:val="both"/>
        <w:rPr>
          <w:rFonts w:ascii="Calibri" w:hAnsi="Calibri" w:cs="Calibri"/>
          <w:sz w:val="20"/>
          <w:szCs w:val="20"/>
        </w:rPr>
      </w:pPr>
      <w:r w:rsidRPr="00C54943">
        <w:rPr>
          <w:rFonts w:ascii="Calibri" w:hAnsi="Calibri" w:cs="Calibri"/>
          <w:b/>
          <w:bCs/>
          <w:sz w:val="20"/>
          <w:szCs w:val="20"/>
        </w:rPr>
        <w:t>Result:</w:t>
      </w:r>
      <w:r w:rsidRPr="00C54943">
        <w:rPr>
          <w:rFonts w:ascii="Calibri" w:hAnsi="Calibri" w:cs="Calibri"/>
          <w:sz w:val="20"/>
          <w:szCs w:val="20"/>
        </w:rPr>
        <w:br/>
        <w:t>Bhutan successfully achieved the 2025 HCFC consumption target, and compliance was formally reported to the Multilateral Fund Secretariat (CP report, 30 March 2026) and will be reported under Article 7 in June 2026.</w:t>
      </w:r>
    </w:p>
    <w:p w14:paraId="73F064F4" w14:textId="77777777" w:rsidR="00776D88" w:rsidRPr="00C54943" w:rsidRDefault="00776D88" w:rsidP="00776D88">
      <w:pPr>
        <w:spacing w:line="240" w:lineRule="auto"/>
        <w:contextualSpacing/>
        <w:jc w:val="both"/>
        <w:rPr>
          <w:rFonts w:ascii="Calibri" w:hAnsi="Calibri" w:cs="Calibri"/>
          <w:b/>
          <w:bCs/>
          <w:sz w:val="20"/>
          <w:szCs w:val="20"/>
        </w:rPr>
      </w:pPr>
      <w:r w:rsidRPr="00C54943">
        <w:rPr>
          <w:rFonts w:ascii="Calibri" w:hAnsi="Calibri" w:cs="Calibri"/>
          <w:b/>
          <w:bCs/>
          <w:sz w:val="20"/>
          <w:szCs w:val="20"/>
        </w:rPr>
        <w:t>4. Limited In-Country Technical Expertise for Emerging Refrigerants</w:t>
      </w:r>
    </w:p>
    <w:p w14:paraId="685DDD59" w14:textId="77777777" w:rsidR="00776D88" w:rsidRPr="00C54943" w:rsidRDefault="00776D88" w:rsidP="00776D88">
      <w:pPr>
        <w:spacing w:line="240" w:lineRule="auto"/>
        <w:contextualSpacing/>
        <w:jc w:val="both"/>
        <w:rPr>
          <w:rFonts w:ascii="Calibri" w:hAnsi="Calibri" w:cs="Calibri"/>
          <w:sz w:val="20"/>
          <w:szCs w:val="20"/>
        </w:rPr>
      </w:pPr>
      <w:r w:rsidRPr="00C54943">
        <w:rPr>
          <w:rFonts w:ascii="Calibri" w:hAnsi="Calibri" w:cs="Calibri"/>
          <w:b/>
          <w:bCs/>
          <w:sz w:val="20"/>
          <w:szCs w:val="20"/>
        </w:rPr>
        <w:lastRenderedPageBreak/>
        <w:t>Issue:</w:t>
      </w:r>
      <w:r w:rsidRPr="00C54943">
        <w:rPr>
          <w:rFonts w:ascii="Calibri" w:hAnsi="Calibri" w:cs="Calibri"/>
          <w:sz w:val="20"/>
          <w:szCs w:val="20"/>
        </w:rPr>
        <w:br/>
        <w:t xml:space="preserve">Transition toward flammable and low-GWP refrigerants requires enhanced technical knowledge and safe servicing practices. </w:t>
      </w:r>
      <w:proofErr w:type="gramStart"/>
      <w:r w:rsidRPr="00C54943">
        <w:rPr>
          <w:rFonts w:ascii="Calibri" w:hAnsi="Calibri" w:cs="Calibri"/>
          <w:sz w:val="20"/>
          <w:szCs w:val="20"/>
        </w:rPr>
        <w:t>The ProDoc</w:t>
      </w:r>
      <w:proofErr w:type="gramEnd"/>
      <w:r w:rsidRPr="00C54943">
        <w:rPr>
          <w:rFonts w:ascii="Calibri" w:hAnsi="Calibri" w:cs="Calibri"/>
          <w:sz w:val="20"/>
          <w:szCs w:val="20"/>
        </w:rPr>
        <w:t xml:space="preserve"> identified capacity constraints in servicing institutions as a long-term risk.</w:t>
      </w:r>
    </w:p>
    <w:p w14:paraId="74019125" w14:textId="77777777" w:rsidR="00776D88" w:rsidRPr="00C54943" w:rsidRDefault="00776D88" w:rsidP="00776D88">
      <w:pPr>
        <w:spacing w:line="240" w:lineRule="auto"/>
        <w:contextualSpacing/>
        <w:rPr>
          <w:rFonts w:ascii="Calibri" w:hAnsi="Calibri" w:cs="Calibri"/>
          <w:sz w:val="20"/>
          <w:szCs w:val="20"/>
        </w:rPr>
      </w:pPr>
      <w:r w:rsidRPr="00C54943">
        <w:rPr>
          <w:rFonts w:ascii="Calibri" w:hAnsi="Calibri" w:cs="Calibri"/>
          <w:b/>
          <w:bCs/>
          <w:sz w:val="20"/>
          <w:szCs w:val="20"/>
        </w:rPr>
        <w:t>Action Taken:</w:t>
      </w:r>
      <w:r w:rsidRPr="00C54943">
        <w:rPr>
          <w:rFonts w:ascii="Calibri" w:hAnsi="Calibri" w:cs="Calibri"/>
          <w:sz w:val="20"/>
          <w:szCs w:val="20"/>
        </w:rPr>
        <w:br/>
        <w:t>Procurement of recovery machines, leak detectors, vacuum pumps, and servicing tools was completed to strengthen practical handling capacity. Coordination with the Technical Training Institute supported technical validation and knowledge reinforcement.</w:t>
      </w:r>
    </w:p>
    <w:p w14:paraId="7B2A3545" w14:textId="77777777" w:rsidR="00776D88" w:rsidRPr="00C54943" w:rsidRDefault="00776D88" w:rsidP="00776D88">
      <w:pPr>
        <w:spacing w:line="240" w:lineRule="auto"/>
        <w:contextualSpacing/>
        <w:jc w:val="both"/>
        <w:rPr>
          <w:rFonts w:ascii="Calibri" w:hAnsi="Calibri" w:cs="Calibri"/>
          <w:sz w:val="20"/>
          <w:szCs w:val="20"/>
        </w:rPr>
      </w:pPr>
      <w:r w:rsidRPr="00C54943">
        <w:rPr>
          <w:rFonts w:ascii="Calibri" w:hAnsi="Calibri" w:cs="Calibri"/>
          <w:b/>
          <w:bCs/>
          <w:sz w:val="20"/>
          <w:szCs w:val="20"/>
        </w:rPr>
        <w:t>Result:</w:t>
      </w:r>
      <w:r w:rsidRPr="00C54943">
        <w:rPr>
          <w:rFonts w:ascii="Calibri" w:hAnsi="Calibri" w:cs="Calibri"/>
          <w:sz w:val="20"/>
          <w:szCs w:val="20"/>
        </w:rPr>
        <w:br/>
        <w:t>Servicing sector readiness for safe refrigerant transition has improved, supporting both completion of HCFC phase-out and preparation for Kigali phase-down.</w:t>
      </w:r>
    </w:p>
    <w:p w14:paraId="1D4A8996" w14:textId="77777777" w:rsidR="00776D88" w:rsidRPr="00C54943" w:rsidRDefault="00776D88" w:rsidP="00776D88">
      <w:pPr>
        <w:spacing w:line="240" w:lineRule="auto"/>
        <w:contextualSpacing/>
        <w:jc w:val="both"/>
        <w:rPr>
          <w:rFonts w:ascii="Calibri" w:hAnsi="Calibri" w:cs="Calibri"/>
          <w:b/>
          <w:bCs/>
          <w:sz w:val="20"/>
          <w:szCs w:val="20"/>
        </w:rPr>
      </w:pPr>
      <w:r w:rsidRPr="00C54943">
        <w:rPr>
          <w:rFonts w:ascii="Calibri" w:hAnsi="Calibri" w:cs="Calibri"/>
          <w:b/>
          <w:bCs/>
          <w:sz w:val="20"/>
          <w:szCs w:val="20"/>
        </w:rPr>
        <w:t>5. Inter-Agency Coordination and Reporting Demands</w:t>
      </w:r>
    </w:p>
    <w:p w14:paraId="4F8CFA29" w14:textId="77777777" w:rsidR="00776D88" w:rsidRPr="00C54943" w:rsidRDefault="00776D88" w:rsidP="00776D88">
      <w:pPr>
        <w:spacing w:line="240" w:lineRule="auto"/>
        <w:contextualSpacing/>
        <w:jc w:val="both"/>
        <w:rPr>
          <w:rFonts w:ascii="Calibri" w:hAnsi="Calibri" w:cs="Calibri"/>
          <w:sz w:val="20"/>
          <w:szCs w:val="20"/>
        </w:rPr>
      </w:pPr>
      <w:r w:rsidRPr="00C54943">
        <w:rPr>
          <w:rFonts w:ascii="Calibri" w:hAnsi="Calibri" w:cs="Calibri"/>
          <w:b/>
          <w:bCs/>
          <w:sz w:val="20"/>
          <w:szCs w:val="20"/>
        </w:rPr>
        <w:t>Issue:</w:t>
      </w:r>
      <w:r w:rsidRPr="00C54943">
        <w:rPr>
          <w:rFonts w:ascii="Calibri" w:hAnsi="Calibri" w:cs="Calibri"/>
          <w:sz w:val="20"/>
          <w:szCs w:val="20"/>
        </w:rPr>
        <w:br/>
        <w:t>Strict annual reporting requirements under Article 7 require accurate data compilation and validation.</w:t>
      </w:r>
    </w:p>
    <w:p w14:paraId="6E65D959" w14:textId="77777777" w:rsidR="00776D88" w:rsidRPr="00C54943" w:rsidRDefault="00776D88" w:rsidP="00776D88">
      <w:pPr>
        <w:spacing w:line="240" w:lineRule="auto"/>
        <w:contextualSpacing/>
        <w:rPr>
          <w:rFonts w:ascii="Calibri" w:hAnsi="Calibri" w:cs="Calibri"/>
          <w:sz w:val="20"/>
          <w:szCs w:val="20"/>
        </w:rPr>
      </w:pPr>
      <w:r w:rsidRPr="00C54943">
        <w:rPr>
          <w:rFonts w:ascii="Calibri" w:hAnsi="Calibri" w:cs="Calibri"/>
          <w:b/>
          <w:bCs/>
          <w:sz w:val="20"/>
          <w:szCs w:val="20"/>
        </w:rPr>
        <w:t>Action Taken:</w:t>
      </w:r>
      <w:r w:rsidRPr="00C54943">
        <w:rPr>
          <w:rFonts w:ascii="Calibri" w:hAnsi="Calibri" w:cs="Calibri"/>
          <w:sz w:val="20"/>
          <w:szCs w:val="20"/>
        </w:rPr>
        <w:br/>
        <w:t>The NOU maintained close coordination with Customs to monitor imports through the licensing system and ensure accurate reporting. Data was compiled and submitted within the prescribed timelines.</w:t>
      </w:r>
    </w:p>
    <w:p w14:paraId="54501F18" w14:textId="77777777" w:rsidR="00776D88" w:rsidRPr="00C54943" w:rsidRDefault="00776D88" w:rsidP="00776D88">
      <w:pPr>
        <w:spacing w:line="240" w:lineRule="auto"/>
        <w:contextualSpacing/>
        <w:jc w:val="both"/>
        <w:rPr>
          <w:rFonts w:ascii="Calibri" w:hAnsi="Calibri" w:cs="Calibri"/>
          <w:sz w:val="20"/>
          <w:szCs w:val="20"/>
        </w:rPr>
      </w:pPr>
      <w:r w:rsidRPr="00C54943">
        <w:rPr>
          <w:rFonts w:ascii="Calibri" w:hAnsi="Calibri" w:cs="Calibri"/>
          <w:b/>
          <w:bCs/>
          <w:sz w:val="20"/>
          <w:szCs w:val="20"/>
        </w:rPr>
        <w:t>Result:</w:t>
      </w:r>
      <w:r w:rsidRPr="00C54943">
        <w:rPr>
          <w:rFonts w:ascii="Calibri" w:hAnsi="Calibri" w:cs="Calibri"/>
          <w:sz w:val="20"/>
          <w:szCs w:val="20"/>
        </w:rPr>
        <w:br/>
        <w:t>Reporting compliance was achieved without delay, strengthening institutional credibility and transparency.</w:t>
      </w:r>
    </w:p>
    <w:p w14:paraId="161F0685"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19648E23" w14:textId="58E4C988" w:rsidR="00892990" w:rsidRPr="00C54943" w:rsidRDefault="00892990">
      <w:pPr>
        <w:numPr>
          <w:ilvl w:val="0"/>
          <w:numId w:val="4"/>
        </w:numPr>
        <w:spacing w:after="0" w:line="240" w:lineRule="auto"/>
        <w:rPr>
          <w:rFonts w:ascii="Calibri" w:eastAsia="MS Mincho" w:hAnsi="Calibri" w:cs="Calibri"/>
          <w:kern w:val="0"/>
          <w:sz w:val="20"/>
          <w:szCs w:val="20"/>
          <w:lang w:val="en-GB" w:eastAsia="en-GB"/>
          <w14:ligatures w14:val="none"/>
        </w:rPr>
      </w:pPr>
      <w:bookmarkStart w:id="31" w:name="_Toc357063192"/>
      <w:bookmarkStart w:id="32" w:name="_Toc366161041"/>
      <w:r w:rsidRPr="00C54943">
        <w:rPr>
          <w:rFonts w:ascii="Calibri" w:eastAsia="MS Mincho" w:hAnsi="Calibri" w:cs="Calibri"/>
          <w:b/>
          <w:kern w:val="0"/>
          <w:sz w:val="20"/>
          <w:szCs w:val="20"/>
          <w:lang w:val="en-GB" w:eastAsia="en-GB"/>
          <w14:ligatures w14:val="none"/>
        </w:rPr>
        <w:t>Lessons Learned</w:t>
      </w:r>
      <w:bookmarkEnd w:id="31"/>
      <w:bookmarkEnd w:id="32"/>
    </w:p>
    <w:p w14:paraId="2EAE1065" w14:textId="77777777" w:rsidR="00153662" w:rsidRPr="00C54943" w:rsidRDefault="00153662" w:rsidP="00153662">
      <w:pPr>
        <w:spacing w:line="240" w:lineRule="auto"/>
        <w:contextualSpacing/>
        <w:jc w:val="both"/>
        <w:rPr>
          <w:rFonts w:ascii="Calibri" w:hAnsi="Calibri" w:cs="Calibri"/>
          <w:sz w:val="20"/>
          <w:szCs w:val="20"/>
        </w:rPr>
      </w:pPr>
      <w:r w:rsidRPr="00C54943">
        <w:rPr>
          <w:rFonts w:ascii="Calibri" w:hAnsi="Calibri" w:cs="Calibri"/>
          <w:sz w:val="20"/>
          <w:szCs w:val="20"/>
        </w:rPr>
        <w:t>The implementation of the HPMP investment component during the reporting period offers important lessons for sustaining compliance under the Montreal Protocol and informing future programming under the Kigali Implementation Plan (KIP).</w:t>
      </w:r>
    </w:p>
    <w:p w14:paraId="66B7AFFB" w14:textId="77777777" w:rsidR="00153662" w:rsidRPr="00C54943" w:rsidRDefault="00153662" w:rsidP="00153662">
      <w:pPr>
        <w:spacing w:line="240" w:lineRule="auto"/>
        <w:contextualSpacing/>
        <w:jc w:val="both"/>
        <w:rPr>
          <w:rFonts w:ascii="Calibri" w:hAnsi="Calibri" w:cs="Calibri"/>
          <w:b/>
          <w:bCs/>
          <w:sz w:val="20"/>
          <w:szCs w:val="20"/>
        </w:rPr>
      </w:pPr>
      <w:r w:rsidRPr="00C54943">
        <w:rPr>
          <w:rFonts w:ascii="Calibri" w:hAnsi="Calibri" w:cs="Calibri"/>
          <w:b/>
          <w:bCs/>
          <w:sz w:val="20"/>
          <w:szCs w:val="20"/>
        </w:rPr>
        <w:t>1. Key Project Successes and Enabling Factors</w:t>
      </w:r>
    </w:p>
    <w:p w14:paraId="2FE7205A" w14:textId="77777777" w:rsidR="00153662" w:rsidRPr="00C54943" w:rsidRDefault="00153662" w:rsidP="00153662">
      <w:pPr>
        <w:spacing w:line="240" w:lineRule="auto"/>
        <w:contextualSpacing/>
        <w:jc w:val="both"/>
        <w:rPr>
          <w:rFonts w:ascii="Calibri" w:hAnsi="Calibri" w:cs="Calibri"/>
          <w:sz w:val="20"/>
          <w:szCs w:val="20"/>
        </w:rPr>
      </w:pPr>
      <w:r w:rsidRPr="00C54943">
        <w:rPr>
          <w:rFonts w:ascii="Calibri" w:hAnsi="Calibri" w:cs="Calibri"/>
          <w:sz w:val="20"/>
          <w:szCs w:val="20"/>
        </w:rPr>
        <w:t>The most significant success of the project was Bhutan’s achievement of the 2025 HCFC consumption target of 0.007 ODP tonnes. This reflects a transformational reduction from the baseline of 0.31 ODP tonnes and demonstrates effective regulatory enforcement and market discipline.</w:t>
      </w:r>
    </w:p>
    <w:p w14:paraId="50D0F350" w14:textId="77777777" w:rsidR="00153662" w:rsidRPr="00C54943" w:rsidRDefault="00153662" w:rsidP="00153662">
      <w:pPr>
        <w:spacing w:line="240" w:lineRule="auto"/>
        <w:contextualSpacing/>
        <w:jc w:val="both"/>
        <w:rPr>
          <w:rFonts w:ascii="Calibri" w:hAnsi="Calibri" w:cs="Calibri"/>
          <w:sz w:val="20"/>
          <w:szCs w:val="20"/>
        </w:rPr>
      </w:pPr>
      <w:r w:rsidRPr="00C54943">
        <w:rPr>
          <w:rFonts w:ascii="Calibri" w:hAnsi="Calibri" w:cs="Calibri"/>
          <w:sz w:val="20"/>
          <w:szCs w:val="20"/>
        </w:rPr>
        <w:t>Several factors contributed to this success:</w:t>
      </w:r>
    </w:p>
    <w:p w14:paraId="7B131D00" w14:textId="77777777" w:rsidR="00153662" w:rsidRPr="00C54943" w:rsidRDefault="00153662">
      <w:pPr>
        <w:numPr>
          <w:ilvl w:val="0"/>
          <w:numId w:val="10"/>
        </w:numPr>
        <w:spacing w:line="240" w:lineRule="auto"/>
        <w:contextualSpacing/>
        <w:jc w:val="both"/>
        <w:rPr>
          <w:rFonts w:ascii="Calibri" w:hAnsi="Calibri" w:cs="Calibri"/>
          <w:sz w:val="20"/>
          <w:szCs w:val="20"/>
        </w:rPr>
      </w:pPr>
      <w:r w:rsidRPr="00C54943">
        <w:rPr>
          <w:rFonts w:ascii="Calibri" w:hAnsi="Calibri" w:cs="Calibri"/>
          <w:b/>
          <w:bCs/>
          <w:sz w:val="20"/>
          <w:szCs w:val="20"/>
        </w:rPr>
        <w:t>Strong national ownership:</w:t>
      </w:r>
      <w:r w:rsidRPr="00C54943">
        <w:rPr>
          <w:rFonts w:ascii="Calibri" w:hAnsi="Calibri" w:cs="Calibri"/>
          <w:sz w:val="20"/>
          <w:szCs w:val="20"/>
        </w:rPr>
        <w:t xml:space="preserve"> The National Ozone Unit (NOU) exercised strict control over the licensing and quota system, even when faced with higher import requests. </w:t>
      </w:r>
    </w:p>
    <w:p w14:paraId="274C7A25" w14:textId="77777777" w:rsidR="00153662" w:rsidRPr="00C54943" w:rsidRDefault="00153662">
      <w:pPr>
        <w:numPr>
          <w:ilvl w:val="0"/>
          <w:numId w:val="10"/>
        </w:numPr>
        <w:spacing w:line="240" w:lineRule="auto"/>
        <w:contextualSpacing/>
        <w:jc w:val="both"/>
        <w:rPr>
          <w:rFonts w:ascii="Calibri" w:hAnsi="Calibri" w:cs="Calibri"/>
          <w:sz w:val="20"/>
          <w:szCs w:val="20"/>
        </w:rPr>
      </w:pPr>
      <w:r w:rsidRPr="00C54943">
        <w:rPr>
          <w:rFonts w:ascii="Calibri" w:hAnsi="Calibri" w:cs="Calibri"/>
          <w:b/>
          <w:bCs/>
          <w:sz w:val="20"/>
          <w:szCs w:val="20"/>
        </w:rPr>
        <w:t>Early infrastructure investment:</w:t>
      </w:r>
      <w:r w:rsidRPr="00C54943">
        <w:rPr>
          <w:rFonts w:ascii="Calibri" w:hAnsi="Calibri" w:cs="Calibri"/>
          <w:sz w:val="20"/>
          <w:szCs w:val="20"/>
        </w:rPr>
        <w:t xml:space="preserve"> Prior investments in vocational training institutes (VTIs), recovery and reclamation systems, and technician capacity created sustained servicing sector readiness. </w:t>
      </w:r>
    </w:p>
    <w:p w14:paraId="3BF69BB5" w14:textId="77777777" w:rsidR="00153662" w:rsidRPr="00C54943" w:rsidRDefault="00153662">
      <w:pPr>
        <w:numPr>
          <w:ilvl w:val="0"/>
          <w:numId w:val="10"/>
        </w:numPr>
        <w:spacing w:line="240" w:lineRule="auto"/>
        <w:contextualSpacing/>
        <w:jc w:val="both"/>
        <w:rPr>
          <w:rFonts w:ascii="Calibri" w:hAnsi="Calibri" w:cs="Calibri"/>
          <w:sz w:val="20"/>
          <w:szCs w:val="20"/>
        </w:rPr>
      </w:pPr>
      <w:r w:rsidRPr="00C54943">
        <w:rPr>
          <w:rFonts w:ascii="Calibri" w:hAnsi="Calibri" w:cs="Calibri"/>
          <w:b/>
          <w:bCs/>
          <w:sz w:val="20"/>
          <w:szCs w:val="20"/>
        </w:rPr>
        <w:t>Close coordination between NOU and Customs:</w:t>
      </w:r>
      <w:r w:rsidRPr="00C54943">
        <w:rPr>
          <w:rFonts w:ascii="Calibri" w:hAnsi="Calibri" w:cs="Calibri"/>
          <w:sz w:val="20"/>
          <w:szCs w:val="20"/>
        </w:rPr>
        <w:t xml:space="preserve"> Real-time monitoring of import volumes ensured compliance with annual ceilings. </w:t>
      </w:r>
    </w:p>
    <w:p w14:paraId="7EC0466B" w14:textId="77777777" w:rsidR="00153662" w:rsidRPr="00C54943" w:rsidRDefault="00153662">
      <w:pPr>
        <w:numPr>
          <w:ilvl w:val="0"/>
          <w:numId w:val="10"/>
        </w:numPr>
        <w:spacing w:line="240" w:lineRule="auto"/>
        <w:contextualSpacing/>
        <w:jc w:val="both"/>
        <w:rPr>
          <w:rFonts w:ascii="Calibri" w:hAnsi="Calibri" w:cs="Calibri"/>
          <w:sz w:val="20"/>
          <w:szCs w:val="20"/>
        </w:rPr>
      </w:pPr>
      <w:r w:rsidRPr="00C54943">
        <w:rPr>
          <w:rFonts w:ascii="Calibri" w:hAnsi="Calibri" w:cs="Calibri"/>
          <w:b/>
          <w:bCs/>
          <w:sz w:val="20"/>
          <w:szCs w:val="20"/>
        </w:rPr>
        <w:t>Performance-based implementation modality:</w:t>
      </w:r>
      <w:r w:rsidRPr="00C54943">
        <w:rPr>
          <w:rFonts w:ascii="Calibri" w:hAnsi="Calibri" w:cs="Calibri"/>
          <w:sz w:val="20"/>
          <w:szCs w:val="20"/>
        </w:rPr>
        <w:t xml:space="preserve"> The tranche-linked funding mechanism encouraged disciplined implementation and milestone tracking. </w:t>
      </w:r>
    </w:p>
    <w:p w14:paraId="315A64A4" w14:textId="77777777" w:rsidR="00153662" w:rsidRPr="00C54943" w:rsidRDefault="00153662" w:rsidP="00153662">
      <w:pPr>
        <w:spacing w:line="240" w:lineRule="auto"/>
        <w:contextualSpacing/>
        <w:jc w:val="both"/>
        <w:rPr>
          <w:rFonts w:ascii="Calibri" w:hAnsi="Calibri" w:cs="Calibri"/>
          <w:sz w:val="20"/>
          <w:szCs w:val="20"/>
        </w:rPr>
      </w:pPr>
      <w:r w:rsidRPr="00C54943">
        <w:rPr>
          <w:rFonts w:ascii="Calibri" w:hAnsi="Calibri" w:cs="Calibri"/>
          <w:sz w:val="20"/>
          <w:szCs w:val="20"/>
        </w:rPr>
        <w:t>These institutional strengths enabled Bhutan not only to meet its compliance target but to do so without economic disruption to the servicing sector.</w:t>
      </w:r>
    </w:p>
    <w:p w14:paraId="73D3C576" w14:textId="77777777" w:rsidR="00153662" w:rsidRPr="00C54943" w:rsidRDefault="00153662" w:rsidP="00153662">
      <w:pPr>
        <w:spacing w:line="240" w:lineRule="auto"/>
        <w:contextualSpacing/>
        <w:jc w:val="both"/>
        <w:rPr>
          <w:rFonts w:ascii="Calibri" w:hAnsi="Calibri" w:cs="Calibri"/>
          <w:b/>
          <w:bCs/>
          <w:sz w:val="20"/>
          <w:szCs w:val="20"/>
        </w:rPr>
      </w:pPr>
      <w:r w:rsidRPr="00C54943">
        <w:rPr>
          <w:rFonts w:ascii="Calibri" w:hAnsi="Calibri" w:cs="Calibri"/>
          <w:b/>
          <w:bCs/>
          <w:sz w:val="20"/>
          <w:szCs w:val="20"/>
        </w:rPr>
        <w:t>2. Difficulties Encountered and Mitigation Measures</w:t>
      </w:r>
    </w:p>
    <w:p w14:paraId="1E4B3090" w14:textId="77777777" w:rsidR="00153662" w:rsidRPr="00C54943" w:rsidRDefault="00153662" w:rsidP="00153662">
      <w:pPr>
        <w:spacing w:line="240" w:lineRule="auto"/>
        <w:contextualSpacing/>
        <w:jc w:val="both"/>
        <w:rPr>
          <w:rFonts w:ascii="Calibri" w:hAnsi="Calibri" w:cs="Calibri"/>
          <w:sz w:val="20"/>
          <w:szCs w:val="20"/>
        </w:rPr>
      </w:pPr>
      <w:r w:rsidRPr="00C54943">
        <w:rPr>
          <w:rFonts w:ascii="Calibri" w:hAnsi="Calibri" w:cs="Calibri"/>
          <w:sz w:val="20"/>
          <w:szCs w:val="20"/>
        </w:rPr>
        <w:t>Some operational challenges were encountered during implementation:</w:t>
      </w:r>
    </w:p>
    <w:p w14:paraId="4592BEFB" w14:textId="77777777" w:rsidR="00153662" w:rsidRPr="00C54943" w:rsidRDefault="00153662">
      <w:pPr>
        <w:numPr>
          <w:ilvl w:val="0"/>
          <w:numId w:val="11"/>
        </w:numPr>
        <w:spacing w:line="240" w:lineRule="auto"/>
        <w:contextualSpacing/>
        <w:jc w:val="both"/>
        <w:rPr>
          <w:rFonts w:ascii="Calibri" w:hAnsi="Calibri" w:cs="Calibri"/>
          <w:sz w:val="20"/>
          <w:szCs w:val="20"/>
        </w:rPr>
      </w:pPr>
      <w:r w:rsidRPr="00C54943">
        <w:rPr>
          <w:rFonts w:ascii="Calibri" w:hAnsi="Calibri" w:cs="Calibri"/>
          <w:b/>
          <w:bCs/>
          <w:sz w:val="20"/>
          <w:szCs w:val="20"/>
        </w:rPr>
        <w:t>Delay in engaging technical expertise</w:t>
      </w:r>
      <w:r w:rsidRPr="00C54943">
        <w:rPr>
          <w:rFonts w:ascii="Calibri" w:hAnsi="Calibri" w:cs="Calibri"/>
          <w:sz w:val="20"/>
          <w:szCs w:val="20"/>
        </w:rPr>
        <w:t xml:space="preserve"> for specification of servicing tools for flammable refrigerants. </w:t>
      </w:r>
    </w:p>
    <w:p w14:paraId="29B585A4" w14:textId="77777777" w:rsidR="00153662" w:rsidRPr="00C54943" w:rsidRDefault="00153662">
      <w:pPr>
        <w:numPr>
          <w:ilvl w:val="0"/>
          <w:numId w:val="11"/>
        </w:numPr>
        <w:spacing w:line="240" w:lineRule="auto"/>
        <w:contextualSpacing/>
        <w:jc w:val="both"/>
        <w:rPr>
          <w:rFonts w:ascii="Calibri" w:hAnsi="Calibri" w:cs="Calibri"/>
          <w:sz w:val="20"/>
          <w:szCs w:val="20"/>
        </w:rPr>
      </w:pPr>
      <w:r w:rsidRPr="00C54943">
        <w:rPr>
          <w:rFonts w:ascii="Calibri" w:hAnsi="Calibri" w:cs="Calibri"/>
          <w:b/>
          <w:bCs/>
          <w:sz w:val="20"/>
          <w:szCs w:val="20"/>
        </w:rPr>
        <w:t>Budget constraints</w:t>
      </w:r>
      <w:r w:rsidRPr="00C54943">
        <w:rPr>
          <w:rFonts w:ascii="Calibri" w:hAnsi="Calibri" w:cs="Calibri"/>
          <w:sz w:val="20"/>
          <w:szCs w:val="20"/>
        </w:rPr>
        <w:t xml:space="preserve"> that required prioritization of essential equipment within available NIM advance funding. </w:t>
      </w:r>
    </w:p>
    <w:p w14:paraId="33D4B1FB" w14:textId="77777777" w:rsidR="00153662" w:rsidRPr="00C54943" w:rsidRDefault="00153662">
      <w:pPr>
        <w:numPr>
          <w:ilvl w:val="0"/>
          <w:numId w:val="11"/>
        </w:numPr>
        <w:spacing w:line="240" w:lineRule="auto"/>
        <w:contextualSpacing/>
        <w:jc w:val="both"/>
        <w:rPr>
          <w:rFonts w:ascii="Calibri" w:hAnsi="Calibri" w:cs="Calibri"/>
          <w:sz w:val="20"/>
          <w:szCs w:val="20"/>
        </w:rPr>
      </w:pPr>
      <w:r w:rsidRPr="00C54943">
        <w:rPr>
          <w:rFonts w:ascii="Calibri" w:hAnsi="Calibri" w:cs="Calibri"/>
          <w:b/>
          <w:bCs/>
          <w:sz w:val="20"/>
          <w:szCs w:val="20"/>
        </w:rPr>
        <w:t>Dependence on external technical validation</w:t>
      </w:r>
      <w:r w:rsidRPr="00C54943">
        <w:rPr>
          <w:rFonts w:ascii="Calibri" w:hAnsi="Calibri" w:cs="Calibri"/>
          <w:sz w:val="20"/>
          <w:szCs w:val="20"/>
        </w:rPr>
        <w:t xml:space="preserve"> for emerging refrigerant technologies. </w:t>
      </w:r>
    </w:p>
    <w:p w14:paraId="01BCB604" w14:textId="77777777" w:rsidR="00153662" w:rsidRPr="00C54943" w:rsidRDefault="00153662" w:rsidP="00153662">
      <w:pPr>
        <w:spacing w:line="240" w:lineRule="auto"/>
        <w:contextualSpacing/>
        <w:jc w:val="both"/>
        <w:rPr>
          <w:rFonts w:ascii="Calibri" w:hAnsi="Calibri" w:cs="Calibri"/>
          <w:sz w:val="20"/>
          <w:szCs w:val="20"/>
        </w:rPr>
      </w:pPr>
      <w:r w:rsidRPr="00C54943">
        <w:rPr>
          <w:rFonts w:ascii="Calibri" w:hAnsi="Calibri" w:cs="Calibri"/>
          <w:sz w:val="20"/>
          <w:szCs w:val="20"/>
        </w:rPr>
        <w:t>These difficulties were addressed through expedited procurement processes, scope prioritization, and strategic deferral of non-critical tools to KIP Stage I. Importantly, these issues did not affect achievement of output or outcome targets.</w:t>
      </w:r>
    </w:p>
    <w:p w14:paraId="3F9F6409" w14:textId="77777777" w:rsidR="00153662" w:rsidRPr="00C54943" w:rsidRDefault="00153662" w:rsidP="00153662">
      <w:pPr>
        <w:spacing w:line="240" w:lineRule="auto"/>
        <w:contextualSpacing/>
        <w:jc w:val="both"/>
        <w:rPr>
          <w:rFonts w:ascii="Calibri" w:hAnsi="Calibri" w:cs="Calibri"/>
          <w:b/>
          <w:bCs/>
          <w:sz w:val="20"/>
          <w:szCs w:val="20"/>
        </w:rPr>
      </w:pPr>
      <w:r w:rsidRPr="00C54943">
        <w:rPr>
          <w:rFonts w:ascii="Calibri" w:hAnsi="Calibri" w:cs="Calibri"/>
          <w:b/>
          <w:bCs/>
          <w:sz w:val="20"/>
          <w:szCs w:val="20"/>
        </w:rPr>
        <w:t>3. What Could Have Been Done Differently</w:t>
      </w:r>
    </w:p>
    <w:p w14:paraId="60CD8A08" w14:textId="77777777" w:rsidR="00153662" w:rsidRPr="00C54943" w:rsidRDefault="00153662" w:rsidP="00153662">
      <w:pPr>
        <w:spacing w:line="240" w:lineRule="auto"/>
        <w:contextualSpacing/>
        <w:jc w:val="both"/>
        <w:rPr>
          <w:rFonts w:ascii="Calibri" w:hAnsi="Calibri" w:cs="Calibri"/>
          <w:sz w:val="20"/>
          <w:szCs w:val="20"/>
        </w:rPr>
      </w:pPr>
      <w:r w:rsidRPr="00C54943">
        <w:rPr>
          <w:rFonts w:ascii="Calibri" w:hAnsi="Calibri" w:cs="Calibri"/>
          <w:sz w:val="20"/>
          <w:szCs w:val="20"/>
        </w:rPr>
        <w:t>While results were achieved successfully, several improvements could enhance future efficiency:</w:t>
      </w:r>
    </w:p>
    <w:p w14:paraId="483540CE" w14:textId="77777777" w:rsidR="00153662" w:rsidRPr="00C54943" w:rsidRDefault="00153662">
      <w:pPr>
        <w:numPr>
          <w:ilvl w:val="0"/>
          <w:numId w:val="12"/>
        </w:numPr>
        <w:spacing w:line="240" w:lineRule="auto"/>
        <w:contextualSpacing/>
        <w:jc w:val="both"/>
        <w:rPr>
          <w:rFonts w:ascii="Calibri" w:hAnsi="Calibri" w:cs="Calibri"/>
          <w:sz w:val="20"/>
          <w:szCs w:val="20"/>
        </w:rPr>
      </w:pPr>
      <w:r w:rsidRPr="00C54943">
        <w:rPr>
          <w:rFonts w:ascii="Calibri" w:hAnsi="Calibri" w:cs="Calibri"/>
          <w:b/>
          <w:bCs/>
          <w:sz w:val="20"/>
          <w:szCs w:val="20"/>
        </w:rPr>
        <w:t>Earlier technical planning:</w:t>
      </w:r>
      <w:r w:rsidRPr="00C54943">
        <w:rPr>
          <w:rFonts w:ascii="Calibri" w:hAnsi="Calibri" w:cs="Calibri"/>
          <w:sz w:val="20"/>
          <w:szCs w:val="20"/>
        </w:rPr>
        <w:t xml:space="preserve"> Developing in-house technical expertise or pre-approved technical specifications would reduce reliance on external consultants and minimize procurement delays. </w:t>
      </w:r>
    </w:p>
    <w:p w14:paraId="3E03E7E4" w14:textId="77777777" w:rsidR="00153662" w:rsidRPr="00C54943" w:rsidRDefault="00153662">
      <w:pPr>
        <w:numPr>
          <w:ilvl w:val="0"/>
          <w:numId w:val="12"/>
        </w:numPr>
        <w:spacing w:line="240" w:lineRule="auto"/>
        <w:contextualSpacing/>
        <w:jc w:val="both"/>
        <w:rPr>
          <w:rFonts w:ascii="Calibri" w:hAnsi="Calibri" w:cs="Calibri"/>
          <w:sz w:val="20"/>
          <w:szCs w:val="20"/>
        </w:rPr>
      </w:pPr>
      <w:r w:rsidRPr="00C54943">
        <w:rPr>
          <w:rFonts w:ascii="Calibri" w:hAnsi="Calibri" w:cs="Calibri"/>
          <w:b/>
          <w:bCs/>
          <w:sz w:val="20"/>
          <w:szCs w:val="20"/>
        </w:rPr>
        <w:lastRenderedPageBreak/>
        <w:t>Integrated budget forecasting:</w:t>
      </w:r>
      <w:r w:rsidRPr="00C54943">
        <w:rPr>
          <w:rFonts w:ascii="Calibri" w:hAnsi="Calibri" w:cs="Calibri"/>
          <w:sz w:val="20"/>
          <w:szCs w:val="20"/>
        </w:rPr>
        <w:t xml:space="preserve"> More detailed cost projections at planning stage could reduce mid-implementation adjustments. </w:t>
      </w:r>
    </w:p>
    <w:p w14:paraId="36E3F37D" w14:textId="77777777" w:rsidR="00153662" w:rsidRPr="00C54943" w:rsidRDefault="00153662">
      <w:pPr>
        <w:numPr>
          <w:ilvl w:val="0"/>
          <w:numId w:val="12"/>
        </w:numPr>
        <w:spacing w:line="240" w:lineRule="auto"/>
        <w:contextualSpacing/>
        <w:jc w:val="both"/>
        <w:rPr>
          <w:rFonts w:ascii="Calibri" w:hAnsi="Calibri" w:cs="Calibri"/>
          <w:sz w:val="20"/>
          <w:szCs w:val="20"/>
        </w:rPr>
      </w:pPr>
      <w:r w:rsidRPr="00C54943">
        <w:rPr>
          <w:rFonts w:ascii="Calibri" w:hAnsi="Calibri" w:cs="Calibri"/>
          <w:b/>
          <w:bCs/>
          <w:sz w:val="20"/>
          <w:szCs w:val="20"/>
        </w:rPr>
        <w:t>Stronger forward-linkage with Kigali transition:</w:t>
      </w:r>
      <w:r w:rsidRPr="00C54943">
        <w:rPr>
          <w:rFonts w:ascii="Calibri" w:hAnsi="Calibri" w:cs="Calibri"/>
          <w:sz w:val="20"/>
          <w:szCs w:val="20"/>
        </w:rPr>
        <w:t xml:space="preserve"> Earlier alignment between HCFC phase-out tools and flammable refrigerant transition requirements could have accelerated readiness. </w:t>
      </w:r>
    </w:p>
    <w:p w14:paraId="6200DE32" w14:textId="77777777" w:rsidR="00153662" w:rsidRPr="00C54943" w:rsidRDefault="00153662" w:rsidP="00153662">
      <w:pPr>
        <w:spacing w:line="240" w:lineRule="auto"/>
        <w:contextualSpacing/>
        <w:jc w:val="both"/>
        <w:rPr>
          <w:rFonts w:ascii="Calibri" w:hAnsi="Calibri" w:cs="Calibri"/>
          <w:sz w:val="20"/>
          <w:szCs w:val="20"/>
        </w:rPr>
      </w:pPr>
      <w:r w:rsidRPr="00C54943">
        <w:rPr>
          <w:rFonts w:ascii="Calibri" w:hAnsi="Calibri" w:cs="Calibri"/>
          <w:sz w:val="20"/>
          <w:szCs w:val="20"/>
        </w:rPr>
        <w:t>These reflections highlight opportunities for strengthening institutional capacity and anticipatory planning.</w:t>
      </w:r>
    </w:p>
    <w:p w14:paraId="5659118F" w14:textId="77777777" w:rsidR="00153662" w:rsidRPr="00C54943" w:rsidRDefault="00153662" w:rsidP="00153662">
      <w:pPr>
        <w:spacing w:line="240" w:lineRule="auto"/>
        <w:contextualSpacing/>
        <w:jc w:val="both"/>
        <w:rPr>
          <w:rFonts w:ascii="Calibri" w:hAnsi="Calibri" w:cs="Calibri"/>
          <w:b/>
          <w:bCs/>
          <w:sz w:val="20"/>
          <w:szCs w:val="20"/>
        </w:rPr>
      </w:pPr>
      <w:r w:rsidRPr="00C54943">
        <w:rPr>
          <w:rFonts w:ascii="Calibri" w:hAnsi="Calibri" w:cs="Calibri"/>
          <w:b/>
          <w:bCs/>
          <w:sz w:val="20"/>
          <w:szCs w:val="20"/>
        </w:rPr>
        <w:t>4. Recommendations for Future Programming</w:t>
      </w:r>
    </w:p>
    <w:p w14:paraId="32037C48" w14:textId="77777777" w:rsidR="00153662" w:rsidRPr="00C54943" w:rsidRDefault="00153662" w:rsidP="00153662">
      <w:pPr>
        <w:spacing w:line="240" w:lineRule="auto"/>
        <w:contextualSpacing/>
        <w:jc w:val="both"/>
        <w:rPr>
          <w:rFonts w:ascii="Calibri" w:hAnsi="Calibri" w:cs="Calibri"/>
          <w:sz w:val="20"/>
          <w:szCs w:val="20"/>
        </w:rPr>
      </w:pPr>
      <w:r w:rsidRPr="00C54943">
        <w:rPr>
          <w:rFonts w:ascii="Calibri" w:hAnsi="Calibri" w:cs="Calibri"/>
          <w:sz w:val="20"/>
          <w:szCs w:val="20"/>
        </w:rPr>
        <w:t>Based on implementation experience, the following recommendations are proposed for future programming, particularly under the Kigali Implementation Plan:</w:t>
      </w:r>
    </w:p>
    <w:p w14:paraId="4AC3AE1F" w14:textId="77777777" w:rsidR="00153662" w:rsidRPr="00C54943" w:rsidRDefault="00153662">
      <w:pPr>
        <w:numPr>
          <w:ilvl w:val="0"/>
          <w:numId w:val="13"/>
        </w:numPr>
        <w:spacing w:line="240" w:lineRule="auto"/>
        <w:contextualSpacing/>
        <w:jc w:val="both"/>
        <w:rPr>
          <w:rFonts w:ascii="Calibri" w:hAnsi="Calibri" w:cs="Calibri"/>
          <w:sz w:val="20"/>
          <w:szCs w:val="20"/>
        </w:rPr>
      </w:pPr>
      <w:r w:rsidRPr="00C54943">
        <w:rPr>
          <w:rFonts w:ascii="Calibri" w:hAnsi="Calibri" w:cs="Calibri"/>
          <w:b/>
          <w:bCs/>
          <w:sz w:val="20"/>
          <w:szCs w:val="20"/>
        </w:rPr>
        <w:t>Build in-house technical expertise</w:t>
      </w:r>
      <w:r w:rsidRPr="00C54943">
        <w:rPr>
          <w:rFonts w:ascii="Calibri" w:hAnsi="Calibri" w:cs="Calibri"/>
          <w:sz w:val="20"/>
          <w:szCs w:val="20"/>
        </w:rPr>
        <w:t xml:space="preserve"> within NOU and partner institutions to reduce dependency on external consultants. </w:t>
      </w:r>
    </w:p>
    <w:p w14:paraId="4FFBBE8B" w14:textId="77777777" w:rsidR="00153662" w:rsidRPr="00C54943" w:rsidRDefault="00153662">
      <w:pPr>
        <w:numPr>
          <w:ilvl w:val="0"/>
          <w:numId w:val="13"/>
        </w:numPr>
        <w:spacing w:line="240" w:lineRule="auto"/>
        <w:contextualSpacing/>
        <w:jc w:val="both"/>
        <w:rPr>
          <w:rFonts w:ascii="Calibri" w:hAnsi="Calibri" w:cs="Calibri"/>
          <w:sz w:val="20"/>
          <w:szCs w:val="20"/>
        </w:rPr>
      </w:pPr>
      <w:r w:rsidRPr="00C54943">
        <w:rPr>
          <w:rFonts w:ascii="Calibri" w:hAnsi="Calibri" w:cs="Calibri"/>
          <w:b/>
          <w:bCs/>
          <w:sz w:val="20"/>
          <w:szCs w:val="20"/>
        </w:rPr>
        <w:t>Institutionalize data-driven planning</w:t>
      </w:r>
      <w:r w:rsidRPr="00C54943">
        <w:rPr>
          <w:rFonts w:ascii="Calibri" w:hAnsi="Calibri" w:cs="Calibri"/>
          <w:sz w:val="20"/>
          <w:szCs w:val="20"/>
        </w:rPr>
        <w:t xml:space="preserve">, using refrigerant import trends to anticipate servicing tool requirements. </w:t>
      </w:r>
    </w:p>
    <w:p w14:paraId="07C9A7D3" w14:textId="77777777" w:rsidR="00153662" w:rsidRPr="00C54943" w:rsidRDefault="00153662">
      <w:pPr>
        <w:numPr>
          <w:ilvl w:val="0"/>
          <w:numId w:val="13"/>
        </w:numPr>
        <w:spacing w:line="240" w:lineRule="auto"/>
        <w:contextualSpacing/>
        <w:jc w:val="both"/>
        <w:rPr>
          <w:rFonts w:ascii="Calibri" w:hAnsi="Calibri" w:cs="Calibri"/>
          <w:sz w:val="20"/>
          <w:szCs w:val="20"/>
        </w:rPr>
      </w:pPr>
      <w:r w:rsidRPr="00C54943">
        <w:rPr>
          <w:rFonts w:ascii="Calibri" w:hAnsi="Calibri" w:cs="Calibri"/>
          <w:b/>
          <w:bCs/>
          <w:sz w:val="20"/>
          <w:szCs w:val="20"/>
        </w:rPr>
        <w:t>Strengthen integration between regulatory enforcement and servicing sector capacity-building</w:t>
      </w:r>
      <w:r w:rsidRPr="00C54943">
        <w:rPr>
          <w:rFonts w:ascii="Calibri" w:hAnsi="Calibri" w:cs="Calibri"/>
          <w:sz w:val="20"/>
          <w:szCs w:val="20"/>
        </w:rPr>
        <w:t xml:space="preserve">, ensuring smoother refrigerant transition. </w:t>
      </w:r>
    </w:p>
    <w:p w14:paraId="5E380E83" w14:textId="77777777" w:rsidR="00153662" w:rsidRPr="00C54943" w:rsidRDefault="00153662">
      <w:pPr>
        <w:numPr>
          <w:ilvl w:val="0"/>
          <w:numId w:val="13"/>
        </w:numPr>
        <w:spacing w:line="240" w:lineRule="auto"/>
        <w:contextualSpacing/>
        <w:jc w:val="both"/>
        <w:rPr>
          <w:rFonts w:ascii="Calibri" w:hAnsi="Calibri" w:cs="Calibri"/>
          <w:sz w:val="20"/>
          <w:szCs w:val="20"/>
        </w:rPr>
      </w:pPr>
      <w:r w:rsidRPr="00C54943">
        <w:rPr>
          <w:rFonts w:ascii="Calibri" w:hAnsi="Calibri" w:cs="Calibri"/>
          <w:b/>
          <w:bCs/>
          <w:sz w:val="20"/>
          <w:szCs w:val="20"/>
        </w:rPr>
        <w:t>Enhance stakeholder engagement mechanisms</w:t>
      </w:r>
      <w:r w:rsidRPr="00C54943">
        <w:rPr>
          <w:rFonts w:ascii="Calibri" w:hAnsi="Calibri" w:cs="Calibri"/>
          <w:sz w:val="20"/>
          <w:szCs w:val="20"/>
        </w:rPr>
        <w:t xml:space="preserve">, including formation of a RAC technician network or association to sustain good </w:t>
      </w:r>
      <w:proofErr w:type="gramStart"/>
      <w:r w:rsidRPr="00C54943">
        <w:rPr>
          <w:rFonts w:ascii="Calibri" w:hAnsi="Calibri" w:cs="Calibri"/>
          <w:sz w:val="20"/>
          <w:szCs w:val="20"/>
        </w:rPr>
        <w:t>servicing</w:t>
      </w:r>
      <w:proofErr w:type="gramEnd"/>
      <w:r w:rsidRPr="00C54943">
        <w:rPr>
          <w:rFonts w:ascii="Calibri" w:hAnsi="Calibri" w:cs="Calibri"/>
          <w:sz w:val="20"/>
          <w:szCs w:val="20"/>
        </w:rPr>
        <w:t xml:space="preserve"> practices. </w:t>
      </w:r>
    </w:p>
    <w:p w14:paraId="27918EA9" w14:textId="77777777" w:rsidR="00153662" w:rsidRPr="00C54943" w:rsidRDefault="00153662">
      <w:pPr>
        <w:numPr>
          <w:ilvl w:val="0"/>
          <w:numId w:val="13"/>
        </w:numPr>
        <w:spacing w:line="240" w:lineRule="auto"/>
        <w:contextualSpacing/>
        <w:jc w:val="both"/>
        <w:rPr>
          <w:rFonts w:ascii="Calibri" w:hAnsi="Calibri" w:cs="Calibri"/>
          <w:sz w:val="20"/>
          <w:szCs w:val="20"/>
        </w:rPr>
      </w:pPr>
      <w:r w:rsidRPr="00C54943">
        <w:rPr>
          <w:rFonts w:ascii="Calibri" w:hAnsi="Calibri" w:cs="Calibri"/>
          <w:b/>
          <w:bCs/>
          <w:sz w:val="20"/>
          <w:szCs w:val="20"/>
        </w:rPr>
        <w:t>Ensure early financial mobilization and phased procurement planning</w:t>
      </w:r>
      <w:r w:rsidRPr="00C54943">
        <w:rPr>
          <w:rFonts w:ascii="Calibri" w:hAnsi="Calibri" w:cs="Calibri"/>
          <w:sz w:val="20"/>
          <w:szCs w:val="20"/>
        </w:rPr>
        <w:t xml:space="preserve"> to mitigate budget-related implementation risks.</w:t>
      </w:r>
    </w:p>
    <w:p w14:paraId="41AD9F32"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7BC49472" w14:textId="3BADA9E8" w:rsidR="00892990" w:rsidRPr="00C54943" w:rsidRDefault="00892990">
      <w:pPr>
        <w:numPr>
          <w:ilvl w:val="0"/>
          <w:numId w:val="5"/>
        </w:numPr>
        <w:spacing w:after="0" w:line="240" w:lineRule="auto"/>
        <w:rPr>
          <w:rFonts w:ascii="Calibri" w:eastAsia="MS Mincho" w:hAnsi="Calibri" w:cs="Calibri"/>
          <w:kern w:val="0"/>
          <w:sz w:val="20"/>
          <w:szCs w:val="20"/>
          <w:lang w:val="en-GB" w:eastAsia="en-GB"/>
          <w14:ligatures w14:val="none"/>
        </w:rPr>
      </w:pPr>
      <w:bookmarkStart w:id="33" w:name="_Toc366161042"/>
      <w:r w:rsidRPr="00C54943">
        <w:rPr>
          <w:rFonts w:ascii="Calibri" w:eastAsia="MS Mincho" w:hAnsi="Calibri" w:cs="Calibri"/>
          <w:b/>
          <w:kern w:val="0"/>
          <w:sz w:val="20"/>
          <w:szCs w:val="20"/>
          <w:lang w:val="en-GB" w:eastAsia="en-GB"/>
          <w14:ligatures w14:val="none"/>
        </w:rPr>
        <w:t>Conclusions and Way Forward</w:t>
      </w:r>
      <w:bookmarkEnd w:id="33"/>
    </w:p>
    <w:p w14:paraId="5E504F41" w14:textId="77777777" w:rsidR="009C7BAF" w:rsidRPr="00C54943" w:rsidRDefault="009C7BAF" w:rsidP="009C7BAF">
      <w:pPr>
        <w:spacing w:after="0" w:line="276" w:lineRule="auto"/>
        <w:rPr>
          <w:rFonts w:ascii="Calibri" w:eastAsia="MS Mincho" w:hAnsi="Calibri" w:cs="Calibri"/>
          <w:kern w:val="0"/>
          <w:sz w:val="20"/>
          <w:szCs w:val="20"/>
          <w:lang w:eastAsia="en-GB"/>
          <w14:ligatures w14:val="none"/>
        </w:rPr>
      </w:pPr>
      <w:r w:rsidRPr="00C54943">
        <w:rPr>
          <w:rFonts w:ascii="Calibri" w:eastAsia="MS Mincho" w:hAnsi="Calibri" w:cs="Calibri"/>
          <w:kern w:val="0"/>
          <w:sz w:val="20"/>
          <w:szCs w:val="20"/>
          <w:lang w:eastAsia="en-GB"/>
          <w14:ligatures w14:val="none"/>
        </w:rPr>
        <w:t>The successful achievement of Bhutan’s 2025 HCFC consumption target marks a significant milestone under the Montreal Protocol. Through effective enforcement of the licensing and quota system, targeted investment in servicing sector capacity, and disciplined monitoring and reporting mechanisms, Bhutan reduced HCFC consumption from a baseline of 0.31 ODP tonnes to 0.007 ODP tonnes in 2025. This accomplishment demonstrates strong national ownership, institutional coordination, and sustained commitment to environmental compliance.</w:t>
      </w:r>
    </w:p>
    <w:p w14:paraId="49FD4BE0" w14:textId="77777777" w:rsidR="009C7BAF" w:rsidRPr="00C54943" w:rsidRDefault="009C7BAF" w:rsidP="009C7BAF">
      <w:pPr>
        <w:spacing w:after="0" w:line="276" w:lineRule="auto"/>
        <w:rPr>
          <w:rFonts w:ascii="Calibri" w:eastAsia="MS Mincho" w:hAnsi="Calibri" w:cs="Calibri"/>
          <w:kern w:val="0"/>
          <w:sz w:val="20"/>
          <w:szCs w:val="20"/>
          <w:lang w:eastAsia="en-GB"/>
          <w14:ligatures w14:val="none"/>
        </w:rPr>
      </w:pPr>
      <w:r w:rsidRPr="00C54943">
        <w:rPr>
          <w:rFonts w:ascii="Calibri" w:eastAsia="MS Mincho" w:hAnsi="Calibri" w:cs="Calibri"/>
          <w:kern w:val="0"/>
          <w:sz w:val="20"/>
          <w:szCs w:val="20"/>
          <w:lang w:eastAsia="en-GB"/>
          <w14:ligatures w14:val="none"/>
        </w:rPr>
        <w:t>The UNDP-supported investment component under the HPMP has played a critical role in strengthening the technical foundation required to sustain these results. Procurement of recovery and servicing tools, enhancement of technician capacity, and improved refrigerant management practices have contributed to long-term sector transformation. Importantly, these efforts have ensured that compliance was achieved without disruption to essential refrigeration and air-conditioning services.</w:t>
      </w:r>
    </w:p>
    <w:p w14:paraId="1554B35C" w14:textId="77777777" w:rsidR="009C7BAF" w:rsidRPr="00C54943" w:rsidRDefault="009C7BAF" w:rsidP="009C7BAF">
      <w:pPr>
        <w:spacing w:after="0" w:line="276" w:lineRule="auto"/>
        <w:rPr>
          <w:rFonts w:ascii="Calibri" w:eastAsia="MS Mincho" w:hAnsi="Calibri" w:cs="Calibri"/>
          <w:kern w:val="0"/>
          <w:sz w:val="20"/>
          <w:szCs w:val="20"/>
          <w:lang w:eastAsia="en-GB"/>
          <w14:ligatures w14:val="none"/>
        </w:rPr>
      </w:pPr>
      <w:r w:rsidRPr="00C54943">
        <w:rPr>
          <w:rFonts w:ascii="Calibri" w:eastAsia="MS Mincho" w:hAnsi="Calibri" w:cs="Calibri"/>
          <w:kern w:val="0"/>
          <w:sz w:val="20"/>
          <w:szCs w:val="20"/>
          <w:lang w:eastAsia="en-GB"/>
          <w14:ligatures w14:val="none"/>
        </w:rPr>
        <w:t>As Bhutan transitions from HCFC phase-out to implementation of the Kigali Amendment, the focus will increasingly shift toward safe adoption of low-global warming potential (GWP) and flammable refrigerants. The experience gained under the HPMP provides a strong institutional and technical platform for this transition. However, continued investment in technical expertise, data accuracy, and servicing sector readiness will be essential.</w:t>
      </w:r>
    </w:p>
    <w:p w14:paraId="6D7181DF" w14:textId="77777777" w:rsidR="009C7BAF" w:rsidRPr="00C54943" w:rsidRDefault="009C7BAF" w:rsidP="009C7BAF">
      <w:pPr>
        <w:spacing w:after="0" w:line="276" w:lineRule="auto"/>
        <w:rPr>
          <w:rFonts w:ascii="Calibri" w:eastAsia="MS Mincho" w:hAnsi="Calibri" w:cs="Calibri"/>
          <w:b/>
          <w:bCs/>
          <w:kern w:val="0"/>
          <w:sz w:val="20"/>
          <w:szCs w:val="20"/>
          <w:lang w:eastAsia="en-GB"/>
          <w14:ligatures w14:val="none"/>
        </w:rPr>
      </w:pPr>
      <w:r w:rsidRPr="00C54943">
        <w:rPr>
          <w:rFonts w:ascii="Calibri" w:eastAsia="MS Mincho" w:hAnsi="Calibri" w:cs="Calibri"/>
          <w:b/>
          <w:bCs/>
          <w:kern w:val="0"/>
          <w:sz w:val="20"/>
          <w:szCs w:val="20"/>
          <w:lang w:eastAsia="en-GB"/>
          <w14:ligatures w14:val="none"/>
        </w:rPr>
        <w:t>Way Forward</w:t>
      </w:r>
    </w:p>
    <w:p w14:paraId="369043B8" w14:textId="77777777" w:rsidR="009C7BAF" w:rsidRPr="00C54943" w:rsidRDefault="009C7BAF" w:rsidP="009C7BAF">
      <w:pPr>
        <w:spacing w:after="0" w:line="276" w:lineRule="auto"/>
        <w:rPr>
          <w:rFonts w:ascii="Calibri" w:eastAsia="MS Mincho" w:hAnsi="Calibri" w:cs="Calibri"/>
          <w:kern w:val="0"/>
          <w:sz w:val="20"/>
          <w:szCs w:val="20"/>
          <w:lang w:eastAsia="en-GB"/>
          <w14:ligatures w14:val="none"/>
        </w:rPr>
      </w:pPr>
      <w:r w:rsidRPr="00C54943">
        <w:rPr>
          <w:rFonts w:ascii="Calibri" w:eastAsia="MS Mincho" w:hAnsi="Calibri" w:cs="Calibri"/>
          <w:kern w:val="0"/>
          <w:sz w:val="20"/>
          <w:szCs w:val="20"/>
          <w:lang w:eastAsia="en-GB"/>
          <w14:ligatures w14:val="none"/>
        </w:rPr>
        <w:t>Moving forward, the following strategic priorities will guide future programming:</w:t>
      </w:r>
    </w:p>
    <w:p w14:paraId="5782BF7C" w14:textId="77777777" w:rsidR="009C7BAF" w:rsidRPr="00C54943" w:rsidRDefault="009C7BAF">
      <w:pPr>
        <w:numPr>
          <w:ilvl w:val="0"/>
          <w:numId w:val="14"/>
        </w:numPr>
        <w:spacing w:after="0" w:line="276" w:lineRule="auto"/>
        <w:rPr>
          <w:rFonts w:ascii="Calibri" w:eastAsia="MS Mincho" w:hAnsi="Calibri" w:cs="Calibri"/>
          <w:kern w:val="0"/>
          <w:sz w:val="20"/>
          <w:szCs w:val="20"/>
          <w:lang w:eastAsia="en-GB"/>
          <w14:ligatures w14:val="none"/>
        </w:rPr>
      </w:pPr>
      <w:r w:rsidRPr="00C54943">
        <w:rPr>
          <w:rFonts w:ascii="Calibri" w:eastAsia="MS Mincho" w:hAnsi="Calibri" w:cs="Calibri"/>
          <w:b/>
          <w:bCs/>
          <w:kern w:val="0"/>
          <w:sz w:val="20"/>
          <w:szCs w:val="20"/>
          <w:lang w:eastAsia="en-GB"/>
          <w14:ligatures w14:val="none"/>
        </w:rPr>
        <w:t>Strengthening Kigali Implementation Plan (KIP) Readiness:</w:t>
      </w:r>
      <w:r w:rsidRPr="00C54943">
        <w:rPr>
          <w:rFonts w:ascii="Calibri" w:eastAsia="MS Mincho" w:hAnsi="Calibri" w:cs="Calibri"/>
          <w:kern w:val="0"/>
          <w:sz w:val="20"/>
          <w:szCs w:val="20"/>
          <w:lang w:eastAsia="en-GB"/>
          <w14:ligatures w14:val="none"/>
        </w:rPr>
        <w:br/>
        <w:t xml:space="preserve">Build on the HPMP foundation to support systematic HFC phase-down, including expansion of safe handling capacity for flammable refrigerants and further procurement of specialized tools. </w:t>
      </w:r>
    </w:p>
    <w:p w14:paraId="4DF8E97D" w14:textId="77777777" w:rsidR="009C7BAF" w:rsidRPr="00C54943" w:rsidRDefault="009C7BAF">
      <w:pPr>
        <w:numPr>
          <w:ilvl w:val="0"/>
          <w:numId w:val="14"/>
        </w:numPr>
        <w:spacing w:after="0" w:line="276" w:lineRule="auto"/>
        <w:rPr>
          <w:rFonts w:ascii="Calibri" w:eastAsia="MS Mincho" w:hAnsi="Calibri" w:cs="Calibri"/>
          <w:kern w:val="0"/>
          <w:sz w:val="20"/>
          <w:szCs w:val="20"/>
          <w:lang w:eastAsia="en-GB"/>
          <w14:ligatures w14:val="none"/>
        </w:rPr>
      </w:pPr>
      <w:r w:rsidRPr="00C54943">
        <w:rPr>
          <w:rFonts w:ascii="Calibri" w:eastAsia="MS Mincho" w:hAnsi="Calibri" w:cs="Calibri"/>
          <w:b/>
          <w:bCs/>
          <w:kern w:val="0"/>
          <w:sz w:val="20"/>
          <w:szCs w:val="20"/>
          <w:lang w:eastAsia="en-GB"/>
          <w14:ligatures w14:val="none"/>
        </w:rPr>
        <w:t>Institutionalizing Servicing Sector Standards:</w:t>
      </w:r>
      <w:r w:rsidRPr="00C54943">
        <w:rPr>
          <w:rFonts w:ascii="Calibri" w:eastAsia="MS Mincho" w:hAnsi="Calibri" w:cs="Calibri"/>
          <w:kern w:val="0"/>
          <w:sz w:val="20"/>
          <w:szCs w:val="20"/>
          <w:lang w:eastAsia="en-GB"/>
          <w14:ligatures w14:val="none"/>
        </w:rPr>
        <w:br/>
        <w:t xml:space="preserve">Enhance collaboration with technical training institutes and servicing enterprises to sustain good servicing practices, refrigerant recovery, and containment measures. </w:t>
      </w:r>
    </w:p>
    <w:p w14:paraId="61223A66" w14:textId="77777777" w:rsidR="009C7BAF" w:rsidRPr="00C54943" w:rsidRDefault="009C7BAF">
      <w:pPr>
        <w:numPr>
          <w:ilvl w:val="0"/>
          <w:numId w:val="14"/>
        </w:numPr>
        <w:spacing w:after="0" w:line="276" w:lineRule="auto"/>
        <w:rPr>
          <w:rFonts w:ascii="Calibri" w:eastAsia="MS Mincho" w:hAnsi="Calibri" w:cs="Calibri"/>
          <w:kern w:val="0"/>
          <w:sz w:val="20"/>
          <w:szCs w:val="20"/>
          <w:lang w:eastAsia="en-GB"/>
          <w14:ligatures w14:val="none"/>
        </w:rPr>
      </w:pPr>
      <w:r w:rsidRPr="00C54943">
        <w:rPr>
          <w:rFonts w:ascii="Calibri" w:eastAsia="MS Mincho" w:hAnsi="Calibri" w:cs="Calibri"/>
          <w:b/>
          <w:bCs/>
          <w:kern w:val="0"/>
          <w:sz w:val="20"/>
          <w:szCs w:val="20"/>
          <w:lang w:eastAsia="en-GB"/>
          <w14:ligatures w14:val="none"/>
        </w:rPr>
        <w:t>Enhancing Data Integrity and Reporting Systems:</w:t>
      </w:r>
      <w:r w:rsidRPr="00C54943">
        <w:rPr>
          <w:rFonts w:ascii="Calibri" w:eastAsia="MS Mincho" w:hAnsi="Calibri" w:cs="Calibri"/>
          <w:kern w:val="0"/>
          <w:sz w:val="20"/>
          <w:szCs w:val="20"/>
          <w:lang w:eastAsia="en-GB"/>
          <w14:ligatures w14:val="none"/>
        </w:rPr>
        <w:br/>
        <w:t xml:space="preserve">Strengthen coordination with Customs and clearing agents to ensure accurate refrigerant classification and reporting under Article 7 and Country Programme requirements. </w:t>
      </w:r>
    </w:p>
    <w:p w14:paraId="79273AA9" w14:textId="77777777" w:rsidR="009C7BAF" w:rsidRPr="00C54943" w:rsidRDefault="009C7BAF">
      <w:pPr>
        <w:numPr>
          <w:ilvl w:val="0"/>
          <w:numId w:val="14"/>
        </w:numPr>
        <w:spacing w:after="0" w:line="276" w:lineRule="auto"/>
        <w:rPr>
          <w:rFonts w:ascii="Calibri" w:eastAsia="MS Mincho" w:hAnsi="Calibri" w:cs="Calibri"/>
          <w:kern w:val="0"/>
          <w:sz w:val="20"/>
          <w:szCs w:val="20"/>
          <w:lang w:eastAsia="en-GB"/>
          <w14:ligatures w14:val="none"/>
        </w:rPr>
      </w:pPr>
      <w:r w:rsidRPr="00C54943">
        <w:rPr>
          <w:rFonts w:ascii="Calibri" w:eastAsia="MS Mincho" w:hAnsi="Calibri" w:cs="Calibri"/>
          <w:b/>
          <w:bCs/>
          <w:kern w:val="0"/>
          <w:sz w:val="20"/>
          <w:szCs w:val="20"/>
          <w:lang w:eastAsia="en-GB"/>
          <w14:ligatures w14:val="none"/>
        </w:rPr>
        <w:t>Building In-Country Technical Expertise:</w:t>
      </w:r>
      <w:r w:rsidRPr="00C54943">
        <w:rPr>
          <w:rFonts w:ascii="Calibri" w:eastAsia="MS Mincho" w:hAnsi="Calibri" w:cs="Calibri"/>
          <w:kern w:val="0"/>
          <w:sz w:val="20"/>
          <w:szCs w:val="20"/>
          <w:lang w:eastAsia="en-GB"/>
          <w14:ligatures w14:val="none"/>
        </w:rPr>
        <w:br/>
        <w:t xml:space="preserve">Develop national technical capacity to reduce reliance on external consultants and support anticipatory planning for future refrigerant transitions. </w:t>
      </w:r>
    </w:p>
    <w:p w14:paraId="71025CE7" w14:textId="77777777" w:rsidR="009C7BAF" w:rsidRPr="00C54943" w:rsidRDefault="009C7BAF">
      <w:pPr>
        <w:numPr>
          <w:ilvl w:val="0"/>
          <w:numId w:val="14"/>
        </w:numPr>
        <w:spacing w:after="0" w:line="276" w:lineRule="auto"/>
        <w:rPr>
          <w:rFonts w:ascii="Calibri" w:eastAsia="MS Mincho" w:hAnsi="Calibri" w:cs="Calibri"/>
          <w:kern w:val="0"/>
          <w:sz w:val="20"/>
          <w:szCs w:val="20"/>
          <w:lang w:eastAsia="en-GB"/>
          <w14:ligatures w14:val="none"/>
        </w:rPr>
      </w:pPr>
      <w:r w:rsidRPr="00C54943">
        <w:rPr>
          <w:rFonts w:ascii="Calibri" w:eastAsia="MS Mincho" w:hAnsi="Calibri" w:cs="Calibri"/>
          <w:b/>
          <w:bCs/>
          <w:kern w:val="0"/>
          <w:sz w:val="20"/>
          <w:szCs w:val="20"/>
          <w:lang w:eastAsia="en-GB"/>
          <w14:ligatures w14:val="none"/>
        </w:rPr>
        <w:lastRenderedPageBreak/>
        <w:t>Promoting Climate Co-Benefits:</w:t>
      </w:r>
      <w:r w:rsidRPr="00C54943">
        <w:rPr>
          <w:rFonts w:ascii="Calibri" w:eastAsia="MS Mincho" w:hAnsi="Calibri" w:cs="Calibri"/>
          <w:kern w:val="0"/>
          <w:sz w:val="20"/>
          <w:szCs w:val="20"/>
          <w:lang w:eastAsia="en-GB"/>
          <w14:ligatures w14:val="none"/>
        </w:rPr>
        <w:br/>
        <w:t xml:space="preserve">Align refrigerant management efforts with Bhutan’s broader climate mitigation commitments, ensuring that future transitions maximize both ozone and climate benefits. </w:t>
      </w:r>
    </w:p>
    <w:p w14:paraId="02B2FF56" w14:textId="77777777" w:rsidR="009C7BAF" w:rsidRPr="00C54943" w:rsidRDefault="009C7BAF" w:rsidP="009C7BAF">
      <w:pPr>
        <w:spacing w:after="0" w:line="276" w:lineRule="auto"/>
        <w:rPr>
          <w:rFonts w:ascii="Calibri" w:eastAsia="MS Mincho" w:hAnsi="Calibri" w:cs="Calibri"/>
          <w:kern w:val="0"/>
          <w:sz w:val="20"/>
          <w:szCs w:val="20"/>
          <w:lang w:eastAsia="en-GB"/>
          <w14:ligatures w14:val="none"/>
        </w:rPr>
      </w:pPr>
      <w:r w:rsidRPr="00C54943">
        <w:rPr>
          <w:rFonts w:ascii="Calibri" w:eastAsia="MS Mincho" w:hAnsi="Calibri" w:cs="Calibri"/>
          <w:kern w:val="0"/>
          <w:sz w:val="20"/>
          <w:szCs w:val="20"/>
          <w:lang w:eastAsia="en-GB"/>
          <w14:ligatures w14:val="none"/>
        </w:rPr>
        <w:t>The completion of the HCFC phase-out target represents not an endpoint, but a transition toward more ambitious climate-aligned refrigerant management. Continued partnership between the National Ozone Unit, UNDP, and sector stakeholders will ensure that Bhutan sustains compliance achievements while advancing toward a climate-friendly cooling future.</w:t>
      </w:r>
    </w:p>
    <w:p w14:paraId="5A08D0B6"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1F3BAA0A"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r w:rsidRPr="00C54943">
        <w:rPr>
          <w:rFonts w:ascii="Calibri" w:eastAsia="MS Mincho" w:hAnsi="Calibri" w:cs="Calibri"/>
          <w:kern w:val="0"/>
          <w:sz w:val="20"/>
          <w:szCs w:val="20"/>
          <w:lang w:val="en-GB" w:eastAsia="en-GB"/>
          <w14:ligatures w14:val="none"/>
        </w:rPr>
        <w:br w:type="page"/>
      </w:r>
    </w:p>
    <w:p w14:paraId="4EF705E4" w14:textId="77777777" w:rsidR="00892990" w:rsidRPr="00C54943" w:rsidRDefault="00892990">
      <w:pPr>
        <w:numPr>
          <w:ilvl w:val="0"/>
          <w:numId w:val="6"/>
        </w:numPr>
        <w:spacing w:after="0" w:line="240" w:lineRule="auto"/>
        <w:rPr>
          <w:rFonts w:ascii="Calibri" w:eastAsia="MS Mincho" w:hAnsi="Calibri" w:cs="Calibri"/>
          <w:kern w:val="0"/>
          <w:sz w:val="20"/>
          <w:szCs w:val="20"/>
          <w:lang w:val="en-GB" w:eastAsia="en-GB"/>
          <w14:ligatures w14:val="none"/>
        </w:rPr>
      </w:pPr>
      <w:bookmarkStart w:id="34" w:name="_Toc366161043"/>
      <w:r w:rsidRPr="00C54943">
        <w:rPr>
          <w:rFonts w:ascii="Calibri" w:eastAsia="MS Mincho" w:hAnsi="Calibri" w:cs="Calibri"/>
          <w:b/>
          <w:kern w:val="0"/>
          <w:sz w:val="20"/>
          <w:szCs w:val="20"/>
          <w:lang w:val="en-GB" w:eastAsia="en-GB"/>
          <w14:ligatures w14:val="none"/>
        </w:rPr>
        <w:lastRenderedPageBreak/>
        <w:t>Financial Status</w:t>
      </w:r>
      <w:bookmarkEnd w:id="34"/>
      <w:r w:rsidRPr="00C54943">
        <w:rPr>
          <w:rFonts w:ascii="Calibri" w:eastAsia="MS Mincho" w:hAnsi="Calibri" w:cs="Calibri"/>
          <w:b/>
          <w:kern w:val="0"/>
          <w:sz w:val="20"/>
          <w:szCs w:val="20"/>
          <w:vertAlign w:val="superscript"/>
          <w:lang w:val="en-GB" w:eastAsia="en-GB"/>
          <w14:ligatures w14:val="none"/>
        </w:rPr>
        <w:footnoteReference w:id="1"/>
      </w:r>
    </w:p>
    <w:p w14:paraId="75A9E7DF" w14:textId="77777777" w:rsidR="00892990" w:rsidRPr="00C54943" w:rsidRDefault="00892990" w:rsidP="00892990">
      <w:pPr>
        <w:tabs>
          <w:tab w:val="left" w:pos="0"/>
          <w:tab w:val="left" w:pos="942"/>
          <w:tab w:val="left" w:pos="2076"/>
          <w:tab w:val="left" w:pos="2160"/>
        </w:tabs>
        <w:suppressAutoHyphens/>
        <w:spacing w:after="0" w:line="276" w:lineRule="auto"/>
        <w:rPr>
          <w:rFonts w:ascii="Calibri" w:eastAsia="MS Mincho" w:hAnsi="Calibri" w:cs="Calibri"/>
          <w:kern w:val="0"/>
          <w:sz w:val="20"/>
          <w:szCs w:val="20"/>
          <w:lang w:val="en-GB" w:eastAsia="en-GB"/>
          <w14:ligatures w14:val="none"/>
        </w:rPr>
      </w:pPr>
    </w:p>
    <w:p w14:paraId="2A95E0A8" w14:textId="7F8F9FAA" w:rsidR="00892990" w:rsidRPr="00BC338F" w:rsidRDefault="00BC338F" w:rsidP="00892990">
      <w:pPr>
        <w:spacing w:after="0" w:line="276" w:lineRule="auto"/>
        <w:rPr>
          <w:rFonts w:ascii="Calibri" w:eastAsia="MS Mincho" w:hAnsi="Calibri" w:cs="Calibri"/>
          <w:color w:val="808080"/>
          <w:kern w:val="0"/>
          <w:sz w:val="20"/>
          <w:szCs w:val="20"/>
          <w:lang w:val="en-GB" w:eastAsia="en-GB"/>
          <w14:ligatures w14:val="none"/>
        </w:rPr>
      </w:pPr>
      <w:r w:rsidRPr="00BC338F">
        <w:rPr>
          <w:rFonts w:ascii="Calibri" w:eastAsia="MS Mincho" w:hAnsi="Calibri" w:cs="Calibri"/>
          <w:color w:val="808080"/>
          <w:kern w:val="0"/>
          <w:sz w:val="20"/>
          <w:szCs w:val="20"/>
          <w:lang w:val="en-GB" w:eastAsia="en-GB"/>
          <w14:ligatures w14:val="none"/>
        </w:rPr>
        <w:drawing>
          <wp:inline distT="0" distB="0" distL="0" distR="0" wp14:anchorId="032025BB" wp14:editId="0D86756F">
            <wp:extent cx="7121986" cy="5486820"/>
            <wp:effectExtent l="0" t="1587" r="1587" b="1588"/>
            <wp:docPr id="1025659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59747" name=""/>
                    <pic:cNvPicPr/>
                  </pic:nvPicPr>
                  <pic:blipFill>
                    <a:blip r:embed="rId12"/>
                    <a:stretch>
                      <a:fillRect/>
                    </a:stretch>
                  </pic:blipFill>
                  <pic:spPr>
                    <a:xfrm rot="16200000">
                      <a:off x="0" y="0"/>
                      <a:ext cx="7140662" cy="5501208"/>
                    </a:xfrm>
                    <a:prstGeom prst="rect">
                      <a:avLst/>
                    </a:prstGeom>
                  </pic:spPr>
                </pic:pic>
              </a:graphicData>
            </a:graphic>
          </wp:inline>
        </w:drawing>
      </w:r>
    </w:p>
    <w:p w14:paraId="52D84DFE"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4F34F59F"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3DBFA144"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7B9A72A2"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6F2CB53F"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21323098"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1D7EF0B1"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29E475FE"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3C8F53E3"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r w:rsidRPr="00C54943">
        <w:rPr>
          <w:rFonts w:ascii="Calibri" w:eastAsia="MS Mincho" w:hAnsi="Calibri" w:cs="Calibri"/>
          <w:kern w:val="0"/>
          <w:sz w:val="20"/>
          <w:szCs w:val="20"/>
          <w:lang w:val="en-GB" w:eastAsia="en-GB"/>
          <w14:ligatures w14:val="none"/>
        </w:rPr>
        <w:br w:type="page"/>
      </w:r>
    </w:p>
    <w:p w14:paraId="3726DC4F" w14:textId="4D69DBAA" w:rsidR="00892990" w:rsidRPr="00D00784" w:rsidRDefault="00892990">
      <w:pPr>
        <w:numPr>
          <w:ilvl w:val="0"/>
          <w:numId w:val="6"/>
        </w:numPr>
        <w:spacing w:after="0" w:line="240" w:lineRule="auto"/>
        <w:rPr>
          <w:rFonts w:ascii="Calibri" w:eastAsia="MS Mincho" w:hAnsi="Calibri" w:cs="Calibri"/>
          <w:kern w:val="0"/>
          <w:sz w:val="20"/>
          <w:szCs w:val="20"/>
          <w:lang w:val="en-GB" w:eastAsia="en-GB"/>
          <w14:ligatures w14:val="none"/>
        </w:rPr>
      </w:pPr>
      <w:bookmarkStart w:id="35" w:name="_Toc366161044"/>
      <w:r w:rsidRPr="00C54943">
        <w:rPr>
          <w:rFonts w:ascii="Calibri" w:eastAsia="MS Mincho" w:hAnsi="Calibri" w:cs="Calibri"/>
          <w:b/>
          <w:kern w:val="0"/>
          <w:sz w:val="20"/>
          <w:szCs w:val="20"/>
          <w:lang w:val="en-GB" w:eastAsia="en-GB"/>
          <w14:ligatures w14:val="none"/>
        </w:rPr>
        <w:lastRenderedPageBreak/>
        <w:t>Annex</w:t>
      </w:r>
      <w:bookmarkEnd w:id="35"/>
      <w:r w:rsidR="00D00784">
        <w:rPr>
          <w:rFonts w:ascii="Calibri" w:eastAsia="MS Mincho" w:hAnsi="Calibri" w:cs="Calibri"/>
          <w:kern w:val="0"/>
          <w:sz w:val="20"/>
          <w:szCs w:val="20"/>
          <w:lang w:val="en-GB" w:eastAsia="en-GB"/>
          <w14:ligatures w14:val="none"/>
        </w:rPr>
        <w:t xml:space="preserve">; </w:t>
      </w:r>
      <w:r w:rsidRPr="00D00784">
        <w:rPr>
          <w:rFonts w:ascii="Calibri" w:eastAsia="MS Mincho" w:hAnsi="Calibri" w:cs="Calibri"/>
          <w:color w:val="808080"/>
          <w:kern w:val="0"/>
          <w:sz w:val="20"/>
          <w:szCs w:val="20"/>
          <w:lang w:val="en-GB" w:eastAsia="en-GB"/>
          <w14:ligatures w14:val="none"/>
        </w:rPr>
        <w:t xml:space="preserve">Annual Work Plan (AWP), </w:t>
      </w:r>
    </w:p>
    <w:p w14:paraId="68DE9FFC" w14:textId="77777777" w:rsidR="00892990" w:rsidRPr="00C54943" w:rsidRDefault="00892990" w:rsidP="00892990">
      <w:pPr>
        <w:spacing w:after="0" w:line="276" w:lineRule="auto"/>
        <w:rPr>
          <w:rFonts w:ascii="Calibri" w:eastAsia="MS Mincho" w:hAnsi="Calibri" w:cs="Calibri"/>
          <w:i/>
          <w:kern w:val="0"/>
          <w:sz w:val="20"/>
          <w:szCs w:val="20"/>
          <w:lang w:val="en-GB" w:eastAsia="en-GB"/>
          <w14:ligatures w14:val="none"/>
        </w:rPr>
      </w:pPr>
    </w:p>
    <w:p w14:paraId="3FAC65DB" w14:textId="77777777" w:rsidR="00892990" w:rsidRPr="00C54943" w:rsidRDefault="00892990" w:rsidP="00892990">
      <w:pPr>
        <w:spacing w:after="0" w:line="276" w:lineRule="auto"/>
        <w:rPr>
          <w:rFonts w:ascii="Calibri" w:eastAsia="MS Mincho" w:hAnsi="Calibri" w:cs="Calibri"/>
          <w:kern w:val="0"/>
          <w:sz w:val="20"/>
          <w:szCs w:val="20"/>
          <w:lang w:val="en-GB" w:eastAsia="en-GB"/>
          <w14:ligatures w14:val="none"/>
        </w:rPr>
      </w:pPr>
    </w:p>
    <w:p w14:paraId="0671A57F" w14:textId="77777777" w:rsidR="00892990" w:rsidRDefault="00892990">
      <w:pPr>
        <w:rPr>
          <w:rFonts w:ascii="Calibri" w:hAnsi="Calibri" w:cs="Calibri"/>
          <w:sz w:val="20"/>
          <w:szCs w:val="20"/>
          <w:lang w:val="en-GB"/>
        </w:rPr>
      </w:pPr>
    </w:p>
    <w:tbl>
      <w:tblPr>
        <w:tblW w:w="5000" w:type="pct"/>
        <w:tblLook w:val="04A0" w:firstRow="1" w:lastRow="0" w:firstColumn="1" w:lastColumn="0" w:noHBand="0" w:noVBand="1"/>
      </w:tblPr>
      <w:tblGrid>
        <w:gridCol w:w="1345"/>
        <w:gridCol w:w="268"/>
        <w:gridCol w:w="2045"/>
        <w:gridCol w:w="658"/>
        <w:gridCol w:w="362"/>
        <w:gridCol w:w="341"/>
        <w:gridCol w:w="341"/>
        <w:gridCol w:w="341"/>
        <w:gridCol w:w="885"/>
        <w:gridCol w:w="533"/>
        <w:gridCol w:w="979"/>
        <w:gridCol w:w="631"/>
        <w:gridCol w:w="631"/>
      </w:tblGrid>
      <w:tr w:rsidR="002E09B6" w:rsidRPr="002E09B6" w14:paraId="3E4542E2" w14:textId="77777777" w:rsidTr="002E09B6">
        <w:trPr>
          <w:trHeight w:val="300"/>
        </w:trPr>
        <w:tc>
          <w:tcPr>
            <w:tcW w:w="966" w:type="pct"/>
            <w:tcBorders>
              <w:top w:val="nil"/>
              <w:left w:val="nil"/>
              <w:bottom w:val="nil"/>
              <w:right w:val="nil"/>
            </w:tcBorders>
            <w:noWrap/>
            <w:vAlign w:val="bottom"/>
            <w:hideMark/>
          </w:tcPr>
          <w:p w14:paraId="2D4ED3E9"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MLF No.</w:t>
            </w:r>
          </w:p>
        </w:tc>
        <w:tc>
          <w:tcPr>
            <w:tcW w:w="88" w:type="pct"/>
            <w:tcBorders>
              <w:top w:val="nil"/>
              <w:left w:val="nil"/>
              <w:bottom w:val="nil"/>
              <w:right w:val="nil"/>
            </w:tcBorders>
            <w:noWrap/>
            <w:vAlign w:val="bottom"/>
            <w:hideMark/>
          </w:tcPr>
          <w:p w14:paraId="44244D36"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p>
        </w:tc>
        <w:tc>
          <w:tcPr>
            <w:tcW w:w="1095" w:type="pct"/>
            <w:tcBorders>
              <w:top w:val="nil"/>
              <w:left w:val="nil"/>
              <w:bottom w:val="nil"/>
              <w:right w:val="nil"/>
            </w:tcBorders>
            <w:noWrap/>
            <w:vAlign w:val="bottom"/>
            <w:hideMark/>
          </w:tcPr>
          <w:p w14:paraId="3FB2F9F7"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BHU/PHA/95/INV/33</w:t>
            </w:r>
          </w:p>
        </w:tc>
        <w:tc>
          <w:tcPr>
            <w:tcW w:w="308" w:type="pct"/>
            <w:tcBorders>
              <w:top w:val="nil"/>
              <w:left w:val="nil"/>
              <w:bottom w:val="nil"/>
              <w:right w:val="nil"/>
            </w:tcBorders>
            <w:noWrap/>
            <w:vAlign w:val="bottom"/>
            <w:hideMark/>
          </w:tcPr>
          <w:p w14:paraId="502C6168"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p>
        </w:tc>
        <w:tc>
          <w:tcPr>
            <w:tcW w:w="140" w:type="pct"/>
            <w:tcBorders>
              <w:top w:val="nil"/>
              <w:left w:val="nil"/>
              <w:bottom w:val="nil"/>
              <w:right w:val="nil"/>
            </w:tcBorders>
            <w:noWrap/>
            <w:vAlign w:val="bottom"/>
            <w:hideMark/>
          </w:tcPr>
          <w:p w14:paraId="51A1A31B"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130" w:type="pct"/>
            <w:tcBorders>
              <w:top w:val="nil"/>
              <w:left w:val="nil"/>
              <w:bottom w:val="nil"/>
              <w:right w:val="nil"/>
            </w:tcBorders>
            <w:noWrap/>
            <w:vAlign w:val="bottom"/>
            <w:hideMark/>
          </w:tcPr>
          <w:p w14:paraId="40FB11DC"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135" w:type="pct"/>
            <w:tcBorders>
              <w:top w:val="nil"/>
              <w:left w:val="nil"/>
              <w:bottom w:val="nil"/>
              <w:right w:val="nil"/>
            </w:tcBorders>
            <w:noWrap/>
            <w:vAlign w:val="bottom"/>
            <w:hideMark/>
          </w:tcPr>
          <w:p w14:paraId="7AE8F099"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156" w:type="pct"/>
            <w:tcBorders>
              <w:top w:val="nil"/>
              <w:left w:val="nil"/>
              <w:bottom w:val="nil"/>
              <w:right w:val="nil"/>
            </w:tcBorders>
            <w:noWrap/>
            <w:vAlign w:val="bottom"/>
            <w:hideMark/>
          </w:tcPr>
          <w:p w14:paraId="556308F4"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445" w:type="pct"/>
            <w:tcBorders>
              <w:top w:val="nil"/>
              <w:left w:val="nil"/>
              <w:bottom w:val="nil"/>
              <w:right w:val="nil"/>
            </w:tcBorders>
            <w:noWrap/>
            <w:vAlign w:val="bottom"/>
            <w:hideMark/>
          </w:tcPr>
          <w:p w14:paraId="535B5DB8"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302" w:type="pct"/>
            <w:tcBorders>
              <w:top w:val="nil"/>
              <w:left w:val="nil"/>
              <w:bottom w:val="nil"/>
              <w:right w:val="nil"/>
            </w:tcBorders>
            <w:noWrap/>
            <w:vAlign w:val="bottom"/>
            <w:hideMark/>
          </w:tcPr>
          <w:p w14:paraId="732736F4"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499" w:type="pct"/>
            <w:tcBorders>
              <w:top w:val="nil"/>
              <w:left w:val="nil"/>
              <w:bottom w:val="nil"/>
              <w:right w:val="nil"/>
            </w:tcBorders>
            <w:noWrap/>
            <w:vAlign w:val="bottom"/>
            <w:hideMark/>
          </w:tcPr>
          <w:p w14:paraId="42742A0C"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367" w:type="pct"/>
            <w:tcBorders>
              <w:top w:val="nil"/>
              <w:left w:val="nil"/>
              <w:bottom w:val="nil"/>
              <w:right w:val="nil"/>
            </w:tcBorders>
            <w:noWrap/>
            <w:vAlign w:val="bottom"/>
            <w:hideMark/>
          </w:tcPr>
          <w:p w14:paraId="7D7DEE7D"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367" w:type="pct"/>
            <w:tcBorders>
              <w:top w:val="nil"/>
              <w:left w:val="nil"/>
              <w:bottom w:val="nil"/>
              <w:right w:val="nil"/>
            </w:tcBorders>
            <w:noWrap/>
            <w:vAlign w:val="bottom"/>
            <w:hideMark/>
          </w:tcPr>
          <w:p w14:paraId="63333356"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r>
      <w:tr w:rsidR="002E09B6" w:rsidRPr="002E09B6" w14:paraId="7299631A" w14:textId="77777777" w:rsidTr="002E09B6">
        <w:trPr>
          <w:trHeight w:val="300"/>
        </w:trPr>
        <w:tc>
          <w:tcPr>
            <w:tcW w:w="966" w:type="pct"/>
            <w:tcBorders>
              <w:top w:val="nil"/>
              <w:left w:val="nil"/>
              <w:bottom w:val="nil"/>
              <w:right w:val="nil"/>
            </w:tcBorders>
            <w:noWrap/>
            <w:vAlign w:val="bottom"/>
            <w:hideMark/>
          </w:tcPr>
          <w:p w14:paraId="0223AD60"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Project Name</w:t>
            </w:r>
          </w:p>
        </w:tc>
        <w:tc>
          <w:tcPr>
            <w:tcW w:w="88" w:type="pct"/>
            <w:tcBorders>
              <w:top w:val="nil"/>
              <w:left w:val="nil"/>
              <w:bottom w:val="nil"/>
              <w:right w:val="nil"/>
            </w:tcBorders>
            <w:noWrap/>
            <w:vAlign w:val="bottom"/>
            <w:hideMark/>
          </w:tcPr>
          <w:p w14:paraId="2DBEE41D"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p>
        </w:tc>
        <w:tc>
          <w:tcPr>
            <w:tcW w:w="1543" w:type="pct"/>
            <w:gridSpan w:val="3"/>
            <w:tcBorders>
              <w:top w:val="nil"/>
              <w:left w:val="nil"/>
              <w:bottom w:val="nil"/>
              <w:right w:val="nil"/>
            </w:tcBorders>
            <w:noWrap/>
            <w:vAlign w:val="bottom"/>
            <w:hideMark/>
          </w:tcPr>
          <w:p w14:paraId="0F41F4C6"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HCFC phase-out management plan (stage I, fourth tranche)</w:t>
            </w:r>
          </w:p>
        </w:tc>
        <w:tc>
          <w:tcPr>
            <w:tcW w:w="130" w:type="pct"/>
            <w:tcBorders>
              <w:top w:val="nil"/>
              <w:left w:val="nil"/>
              <w:bottom w:val="nil"/>
              <w:right w:val="nil"/>
            </w:tcBorders>
            <w:noWrap/>
            <w:vAlign w:val="bottom"/>
            <w:hideMark/>
          </w:tcPr>
          <w:p w14:paraId="7057F7F0"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p>
        </w:tc>
        <w:tc>
          <w:tcPr>
            <w:tcW w:w="135" w:type="pct"/>
            <w:tcBorders>
              <w:top w:val="nil"/>
              <w:left w:val="nil"/>
              <w:bottom w:val="nil"/>
              <w:right w:val="nil"/>
            </w:tcBorders>
            <w:noWrap/>
            <w:vAlign w:val="bottom"/>
            <w:hideMark/>
          </w:tcPr>
          <w:p w14:paraId="79CFB23D"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156" w:type="pct"/>
            <w:tcBorders>
              <w:top w:val="nil"/>
              <w:left w:val="nil"/>
              <w:bottom w:val="nil"/>
              <w:right w:val="nil"/>
            </w:tcBorders>
            <w:noWrap/>
            <w:vAlign w:val="bottom"/>
            <w:hideMark/>
          </w:tcPr>
          <w:p w14:paraId="2FF5B856"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445" w:type="pct"/>
            <w:tcBorders>
              <w:top w:val="nil"/>
              <w:left w:val="nil"/>
              <w:bottom w:val="nil"/>
              <w:right w:val="nil"/>
            </w:tcBorders>
            <w:noWrap/>
            <w:vAlign w:val="bottom"/>
            <w:hideMark/>
          </w:tcPr>
          <w:p w14:paraId="00AD7D8F"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302" w:type="pct"/>
            <w:tcBorders>
              <w:top w:val="nil"/>
              <w:left w:val="nil"/>
              <w:bottom w:val="nil"/>
              <w:right w:val="nil"/>
            </w:tcBorders>
            <w:noWrap/>
            <w:vAlign w:val="bottom"/>
            <w:hideMark/>
          </w:tcPr>
          <w:p w14:paraId="1AB680E9"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499" w:type="pct"/>
            <w:tcBorders>
              <w:top w:val="nil"/>
              <w:left w:val="nil"/>
              <w:bottom w:val="nil"/>
              <w:right w:val="nil"/>
            </w:tcBorders>
            <w:noWrap/>
            <w:vAlign w:val="bottom"/>
            <w:hideMark/>
          </w:tcPr>
          <w:p w14:paraId="667C39B1"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367" w:type="pct"/>
            <w:tcBorders>
              <w:top w:val="nil"/>
              <w:left w:val="nil"/>
              <w:bottom w:val="nil"/>
              <w:right w:val="nil"/>
            </w:tcBorders>
            <w:noWrap/>
            <w:vAlign w:val="bottom"/>
            <w:hideMark/>
          </w:tcPr>
          <w:p w14:paraId="46BE38D8"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367" w:type="pct"/>
            <w:tcBorders>
              <w:top w:val="nil"/>
              <w:left w:val="nil"/>
              <w:bottom w:val="nil"/>
              <w:right w:val="nil"/>
            </w:tcBorders>
            <w:noWrap/>
            <w:vAlign w:val="bottom"/>
            <w:hideMark/>
          </w:tcPr>
          <w:p w14:paraId="0A978A18"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r>
      <w:tr w:rsidR="002E09B6" w:rsidRPr="002E09B6" w14:paraId="6BB66ED2" w14:textId="77777777" w:rsidTr="002E09B6">
        <w:trPr>
          <w:trHeight w:val="300"/>
        </w:trPr>
        <w:tc>
          <w:tcPr>
            <w:tcW w:w="966" w:type="pct"/>
            <w:tcBorders>
              <w:top w:val="nil"/>
              <w:left w:val="nil"/>
              <w:bottom w:val="nil"/>
              <w:right w:val="nil"/>
            </w:tcBorders>
            <w:noWrap/>
            <w:vAlign w:val="bottom"/>
            <w:hideMark/>
          </w:tcPr>
          <w:p w14:paraId="017BD8FB"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Quantum Award Number</w:t>
            </w:r>
          </w:p>
        </w:tc>
        <w:tc>
          <w:tcPr>
            <w:tcW w:w="88" w:type="pct"/>
            <w:tcBorders>
              <w:top w:val="nil"/>
              <w:left w:val="nil"/>
              <w:bottom w:val="nil"/>
              <w:right w:val="nil"/>
            </w:tcBorders>
            <w:noWrap/>
            <w:vAlign w:val="bottom"/>
            <w:hideMark/>
          </w:tcPr>
          <w:p w14:paraId="073FC478"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p>
        </w:tc>
        <w:tc>
          <w:tcPr>
            <w:tcW w:w="1095" w:type="pct"/>
            <w:tcBorders>
              <w:top w:val="nil"/>
              <w:left w:val="nil"/>
              <w:bottom w:val="nil"/>
              <w:right w:val="nil"/>
            </w:tcBorders>
            <w:noWrap/>
            <w:vAlign w:val="bottom"/>
            <w:hideMark/>
          </w:tcPr>
          <w:p w14:paraId="3460D450"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00081856.2</w:t>
            </w:r>
          </w:p>
        </w:tc>
        <w:tc>
          <w:tcPr>
            <w:tcW w:w="308" w:type="pct"/>
            <w:tcBorders>
              <w:top w:val="nil"/>
              <w:left w:val="nil"/>
              <w:bottom w:val="nil"/>
              <w:right w:val="nil"/>
            </w:tcBorders>
            <w:noWrap/>
            <w:vAlign w:val="bottom"/>
            <w:hideMark/>
          </w:tcPr>
          <w:p w14:paraId="01BDC032"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p>
        </w:tc>
        <w:tc>
          <w:tcPr>
            <w:tcW w:w="140" w:type="pct"/>
            <w:tcBorders>
              <w:top w:val="nil"/>
              <w:left w:val="nil"/>
              <w:bottom w:val="nil"/>
              <w:right w:val="nil"/>
            </w:tcBorders>
            <w:noWrap/>
            <w:vAlign w:val="bottom"/>
            <w:hideMark/>
          </w:tcPr>
          <w:p w14:paraId="6782DFB1"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130" w:type="pct"/>
            <w:tcBorders>
              <w:top w:val="nil"/>
              <w:left w:val="nil"/>
              <w:bottom w:val="nil"/>
              <w:right w:val="nil"/>
            </w:tcBorders>
            <w:noWrap/>
            <w:vAlign w:val="bottom"/>
            <w:hideMark/>
          </w:tcPr>
          <w:p w14:paraId="22CC813A"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135" w:type="pct"/>
            <w:tcBorders>
              <w:top w:val="nil"/>
              <w:left w:val="nil"/>
              <w:bottom w:val="nil"/>
              <w:right w:val="nil"/>
            </w:tcBorders>
            <w:noWrap/>
            <w:vAlign w:val="bottom"/>
            <w:hideMark/>
          </w:tcPr>
          <w:p w14:paraId="1A8660CB"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156" w:type="pct"/>
            <w:tcBorders>
              <w:top w:val="nil"/>
              <w:left w:val="nil"/>
              <w:bottom w:val="nil"/>
              <w:right w:val="nil"/>
            </w:tcBorders>
            <w:noWrap/>
            <w:vAlign w:val="bottom"/>
            <w:hideMark/>
          </w:tcPr>
          <w:p w14:paraId="303C139B"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445" w:type="pct"/>
            <w:tcBorders>
              <w:top w:val="nil"/>
              <w:left w:val="nil"/>
              <w:bottom w:val="nil"/>
              <w:right w:val="nil"/>
            </w:tcBorders>
            <w:noWrap/>
            <w:vAlign w:val="bottom"/>
            <w:hideMark/>
          </w:tcPr>
          <w:p w14:paraId="0BC8DC35"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302" w:type="pct"/>
            <w:tcBorders>
              <w:top w:val="nil"/>
              <w:left w:val="nil"/>
              <w:bottom w:val="nil"/>
              <w:right w:val="nil"/>
            </w:tcBorders>
            <w:noWrap/>
            <w:vAlign w:val="bottom"/>
            <w:hideMark/>
          </w:tcPr>
          <w:p w14:paraId="33B487E4"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499" w:type="pct"/>
            <w:tcBorders>
              <w:top w:val="nil"/>
              <w:left w:val="nil"/>
              <w:bottom w:val="nil"/>
              <w:right w:val="nil"/>
            </w:tcBorders>
            <w:noWrap/>
            <w:vAlign w:val="bottom"/>
            <w:hideMark/>
          </w:tcPr>
          <w:p w14:paraId="2FCDF6DE"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367" w:type="pct"/>
            <w:tcBorders>
              <w:top w:val="nil"/>
              <w:left w:val="nil"/>
              <w:bottom w:val="nil"/>
              <w:right w:val="nil"/>
            </w:tcBorders>
            <w:noWrap/>
            <w:vAlign w:val="bottom"/>
            <w:hideMark/>
          </w:tcPr>
          <w:p w14:paraId="0B846F9A"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367" w:type="pct"/>
            <w:tcBorders>
              <w:top w:val="nil"/>
              <w:left w:val="nil"/>
              <w:bottom w:val="nil"/>
              <w:right w:val="nil"/>
            </w:tcBorders>
            <w:noWrap/>
            <w:vAlign w:val="bottom"/>
            <w:hideMark/>
          </w:tcPr>
          <w:p w14:paraId="72BA2F53"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r>
      <w:tr w:rsidR="002E09B6" w:rsidRPr="002E09B6" w14:paraId="7722ECB7" w14:textId="77777777" w:rsidTr="002E09B6">
        <w:trPr>
          <w:trHeight w:val="300"/>
        </w:trPr>
        <w:tc>
          <w:tcPr>
            <w:tcW w:w="966" w:type="pct"/>
            <w:tcBorders>
              <w:top w:val="nil"/>
              <w:left w:val="nil"/>
              <w:bottom w:val="nil"/>
              <w:right w:val="nil"/>
            </w:tcBorders>
            <w:noWrap/>
            <w:vAlign w:val="bottom"/>
            <w:hideMark/>
          </w:tcPr>
          <w:p w14:paraId="50C66F3D"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Quantum Project Number</w:t>
            </w:r>
          </w:p>
        </w:tc>
        <w:tc>
          <w:tcPr>
            <w:tcW w:w="88" w:type="pct"/>
            <w:tcBorders>
              <w:top w:val="nil"/>
              <w:left w:val="nil"/>
              <w:bottom w:val="nil"/>
              <w:right w:val="nil"/>
            </w:tcBorders>
            <w:noWrap/>
            <w:vAlign w:val="bottom"/>
            <w:hideMark/>
          </w:tcPr>
          <w:p w14:paraId="67A6683A"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p>
        </w:tc>
        <w:tc>
          <w:tcPr>
            <w:tcW w:w="1095" w:type="pct"/>
            <w:tcBorders>
              <w:top w:val="nil"/>
              <w:left w:val="nil"/>
              <w:bottom w:val="nil"/>
              <w:right w:val="nil"/>
            </w:tcBorders>
            <w:noWrap/>
            <w:vAlign w:val="bottom"/>
            <w:hideMark/>
          </w:tcPr>
          <w:p w14:paraId="75F95694"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00081856</w:t>
            </w:r>
          </w:p>
        </w:tc>
        <w:tc>
          <w:tcPr>
            <w:tcW w:w="308" w:type="pct"/>
            <w:tcBorders>
              <w:top w:val="nil"/>
              <w:left w:val="nil"/>
              <w:bottom w:val="nil"/>
              <w:right w:val="nil"/>
            </w:tcBorders>
            <w:noWrap/>
            <w:vAlign w:val="bottom"/>
            <w:hideMark/>
          </w:tcPr>
          <w:p w14:paraId="797B5FFA"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p>
        </w:tc>
        <w:tc>
          <w:tcPr>
            <w:tcW w:w="140" w:type="pct"/>
            <w:tcBorders>
              <w:top w:val="nil"/>
              <w:left w:val="nil"/>
              <w:bottom w:val="nil"/>
              <w:right w:val="nil"/>
            </w:tcBorders>
            <w:noWrap/>
            <w:vAlign w:val="bottom"/>
            <w:hideMark/>
          </w:tcPr>
          <w:p w14:paraId="0D1DEF89"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130" w:type="pct"/>
            <w:tcBorders>
              <w:top w:val="nil"/>
              <w:left w:val="nil"/>
              <w:bottom w:val="nil"/>
              <w:right w:val="nil"/>
            </w:tcBorders>
            <w:noWrap/>
            <w:vAlign w:val="bottom"/>
            <w:hideMark/>
          </w:tcPr>
          <w:p w14:paraId="507B1C08"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135" w:type="pct"/>
            <w:tcBorders>
              <w:top w:val="nil"/>
              <w:left w:val="nil"/>
              <w:bottom w:val="nil"/>
              <w:right w:val="nil"/>
            </w:tcBorders>
            <w:noWrap/>
            <w:vAlign w:val="bottom"/>
            <w:hideMark/>
          </w:tcPr>
          <w:p w14:paraId="1DEF40C4"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156" w:type="pct"/>
            <w:tcBorders>
              <w:top w:val="nil"/>
              <w:left w:val="nil"/>
              <w:bottom w:val="nil"/>
              <w:right w:val="nil"/>
            </w:tcBorders>
            <w:noWrap/>
            <w:vAlign w:val="bottom"/>
            <w:hideMark/>
          </w:tcPr>
          <w:p w14:paraId="7E945B38"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445" w:type="pct"/>
            <w:tcBorders>
              <w:top w:val="nil"/>
              <w:left w:val="nil"/>
              <w:bottom w:val="nil"/>
              <w:right w:val="nil"/>
            </w:tcBorders>
            <w:noWrap/>
            <w:vAlign w:val="bottom"/>
            <w:hideMark/>
          </w:tcPr>
          <w:p w14:paraId="1C7C6024"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302" w:type="pct"/>
            <w:tcBorders>
              <w:top w:val="nil"/>
              <w:left w:val="nil"/>
              <w:bottom w:val="nil"/>
              <w:right w:val="nil"/>
            </w:tcBorders>
            <w:noWrap/>
            <w:vAlign w:val="bottom"/>
            <w:hideMark/>
          </w:tcPr>
          <w:p w14:paraId="6A811506"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499" w:type="pct"/>
            <w:tcBorders>
              <w:top w:val="nil"/>
              <w:left w:val="nil"/>
              <w:bottom w:val="nil"/>
              <w:right w:val="nil"/>
            </w:tcBorders>
            <w:noWrap/>
            <w:vAlign w:val="bottom"/>
            <w:hideMark/>
          </w:tcPr>
          <w:p w14:paraId="7510801C"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367" w:type="pct"/>
            <w:tcBorders>
              <w:top w:val="nil"/>
              <w:left w:val="nil"/>
              <w:bottom w:val="nil"/>
              <w:right w:val="nil"/>
            </w:tcBorders>
            <w:noWrap/>
            <w:vAlign w:val="bottom"/>
            <w:hideMark/>
          </w:tcPr>
          <w:p w14:paraId="150FB8D2"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c>
          <w:tcPr>
            <w:tcW w:w="367" w:type="pct"/>
            <w:tcBorders>
              <w:top w:val="nil"/>
              <w:left w:val="nil"/>
              <w:bottom w:val="nil"/>
              <w:right w:val="nil"/>
            </w:tcBorders>
            <w:noWrap/>
            <w:vAlign w:val="bottom"/>
            <w:hideMark/>
          </w:tcPr>
          <w:p w14:paraId="17321381" w14:textId="77777777" w:rsidR="002E09B6" w:rsidRPr="002E09B6" w:rsidRDefault="002E09B6" w:rsidP="002E09B6">
            <w:pPr>
              <w:spacing w:after="0" w:line="240" w:lineRule="auto"/>
              <w:rPr>
                <w:rFonts w:ascii="Times New Roman" w:eastAsia="Times New Roman" w:hAnsi="Times New Roman" w:cs="Times New Roman"/>
                <w:kern w:val="0"/>
                <w:sz w:val="20"/>
                <w:szCs w:val="20"/>
                <w14:ligatures w14:val="none"/>
              </w:rPr>
            </w:pPr>
          </w:p>
        </w:tc>
      </w:tr>
      <w:tr w:rsidR="002E09B6" w:rsidRPr="002E09B6" w14:paraId="076B4725" w14:textId="77777777" w:rsidTr="002E09B6">
        <w:trPr>
          <w:trHeight w:val="255"/>
        </w:trPr>
        <w:tc>
          <w:tcPr>
            <w:tcW w:w="966" w:type="pct"/>
            <w:vMerge w:val="restart"/>
            <w:tcBorders>
              <w:top w:val="single" w:sz="4" w:space="0" w:color="000000"/>
              <w:left w:val="single" w:sz="4" w:space="0" w:color="000000"/>
              <w:bottom w:val="single" w:sz="4" w:space="0" w:color="000000"/>
              <w:right w:val="single" w:sz="4" w:space="0" w:color="000000"/>
            </w:tcBorders>
            <w:shd w:val="clear" w:color="3366FF" w:fill="3366FF"/>
            <w:hideMark/>
          </w:tcPr>
          <w:p w14:paraId="11E012CF"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 xml:space="preserve">EXPECTED CP OUTPUTS </w:t>
            </w:r>
            <w:r w:rsidRPr="002E09B6">
              <w:rPr>
                <w:rFonts w:ascii="Arial" w:eastAsia="Times New Roman" w:hAnsi="Arial" w:cs="Arial"/>
                <w:b/>
                <w:bCs/>
                <w:color w:val="FFFFFF"/>
                <w:kern w:val="0"/>
                <w:sz w:val="20"/>
                <w:szCs w:val="20"/>
                <w14:ligatures w14:val="none"/>
              </w:rPr>
              <w:br/>
              <w:t>and indicators including 12 months' targets</w:t>
            </w:r>
          </w:p>
        </w:tc>
        <w:tc>
          <w:tcPr>
            <w:tcW w:w="1184" w:type="pct"/>
            <w:gridSpan w:val="2"/>
            <w:vMerge w:val="restart"/>
            <w:tcBorders>
              <w:top w:val="single" w:sz="4" w:space="0" w:color="000000"/>
              <w:left w:val="single" w:sz="4" w:space="0" w:color="000000"/>
              <w:bottom w:val="single" w:sz="4" w:space="0" w:color="000000"/>
              <w:right w:val="single" w:sz="4" w:space="0" w:color="000000"/>
            </w:tcBorders>
            <w:shd w:val="clear" w:color="3366FF" w:fill="3366FF"/>
            <w:vAlign w:val="center"/>
            <w:hideMark/>
          </w:tcPr>
          <w:p w14:paraId="5C3E3915"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 xml:space="preserve">PLANNED ACTIVITIES </w:t>
            </w:r>
            <w:r w:rsidRPr="002E09B6">
              <w:rPr>
                <w:rFonts w:ascii="Arial" w:eastAsia="Times New Roman" w:hAnsi="Arial" w:cs="Arial"/>
                <w:b/>
                <w:bCs/>
                <w:color w:val="FFFFFF"/>
                <w:kern w:val="0"/>
                <w:sz w:val="20"/>
                <w:szCs w:val="20"/>
                <w14:ligatures w14:val="none"/>
              </w:rPr>
              <w:br/>
              <w:t>List all activities including M&amp;E to be undertaken during the year towards stated CP outputs</w:t>
            </w:r>
          </w:p>
        </w:tc>
        <w:tc>
          <w:tcPr>
            <w:tcW w:w="308" w:type="pct"/>
            <w:tcBorders>
              <w:top w:val="single" w:sz="4" w:space="0" w:color="000000"/>
              <w:left w:val="nil"/>
              <w:bottom w:val="single" w:sz="4" w:space="0" w:color="000000"/>
              <w:right w:val="single" w:sz="4" w:space="0" w:color="000000"/>
            </w:tcBorders>
            <w:shd w:val="clear" w:color="3366FF" w:fill="3366FF"/>
            <w:vAlign w:val="center"/>
            <w:hideMark/>
          </w:tcPr>
          <w:p w14:paraId="5A20C912"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 </w:t>
            </w:r>
          </w:p>
        </w:tc>
        <w:tc>
          <w:tcPr>
            <w:tcW w:w="562" w:type="pct"/>
            <w:gridSpan w:val="4"/>
            <w:tcBorders>
              <w:top w:val="single" w:sz="4" w:space="0" w:color="000000"/>
              <w:left w:val="nil"/>
              <w:bottom w:val="single" w:sz="4" w:space="0" w:color="000000"/>
              <w:right w:val="single" w:sz="4" w:space="0" w:color="000000"/>
            </w:tcBorders>
            <w:shd w:val="clear" w:color="3366FF" w:fill="3366FF"/>
            <w:vAlign w:val="center"/>
            <w:hideMark/>
          </w:tcPr>
          <w:p w14:paraId="36CEADB4"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TIMEFRAME</w:t>
            </w:r>
          </w:p>
        </w:tc>
        <w:tc>
          <w:tcPr>
            <w:tcW w:w="445" w:type="pct"/>
            <w:tcBorders>
              <w:top w:val="single" w:sz="4" w:space="0" w:color="000000"/>
              <w:left w:val="nil"/>
              <w:bottom w:val="single" w:sz="4" w:space="0" w:color="000000"/>
              <w:right w:val="nil"/>
            </w:tcBorders>
            <w:shd w:val="clear" w:color="3366FF" w:fill="3366FF"/>
            <w:vAlign w:val="center"/>
            <w:hideMark/>
          </w:tcPr>
          <w:p w14:paraId="31EA9707"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 xml:space="preserve">RESPONSIBLE PARTY </w:t>
            </w:r>
          </w:p>
        </w:tc>
        <w:tc>
          <w:tcPr>
            <w:tcW w:w="1535" w:type="pct"/>
            <w:gridSpan w:val="4"/>
            <w:tcBorders>
              <w:top w:val="single" w:sz="4" w:space="0" w:color="000000"/>
              <w:left w:val="nil"/>
              <w:bottom w:val="single" w:sz="4" w:space="0" w:color="000000"/>
              <w:right w:val="single" w:sz="4" w:space="0" w:color="000000"/>
            </w:tcBorders>
            <w:shd w:val="clear" w:color="3366FF" w:fill="3366FF"/>
            <w:vAlign w:val="center"/>
            <w:hideMark/>
          </w:tcPr>
          <w:p w14:paraId="0FB0A9B5"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PLANNED BUDGET</w:t>
            </w:r>
          </w:p>
        </w:tc>
      </w:tr>
      <w:tr w:rsidR="002E09B6" w:rsidRPr="002E09B6" w14:paraId="7A52267A" w14:textId="77777777" w:rsidTr="002E09B6">
        <w:trPr>
          <w:trHeight w:val="255"/>
        </w:trPr>
        <w:tc>
          <w:tcPr>
            <w:tcW w:w="966" w:type="pct"/>
            <w:vMerge/>
            <w:tcBorders>
              <w:top w:val="single" w:sz="4" w:space="0" w:color="000000"/>
              <w:left w:val="single" w:sz="4" w:space="0" w:color="000000"/>
              <w:bottom w:val="single" w:sz="4" w:space="0" w:color="000000"/>
              <w:right w:val="single" w:sz="4" w:space="0" w:color="000000"/>
            </w:tcBorders>
            <w:vAlign w:val="center"/>
            <w:hideMark/>
          </w:tcPr>
          <w:p w14:paraId="3995075F" w14:textId="77777777" w:rsidR="002E09B6" w:rsidRPr="002E09B6" w:rsidRDefault="002E09B6" w:rsidP="002E09B6">
            <w:pPr>
              <w:spacing w:after="0" w:line="240" w:lineRule="auto"/>
              <w:rPr>
                <w:rFonts w:ascii="Arial" w:eastAsia="Times New Roman" w:hAnsi="Arial" w:cs="Arial"/>
                <w:b/>
                <w:bCs/>
                <w:color w:val="FFFFFF"/>
                <w:kern w:val="0"/>
                <w:sz w:val="20"/>
                <w:szCs w:val="20"/>
                <w14:ligatures w14:val="none"/>
              </w:rPr>
            </w:pPr>
          </w:p>
        </w:tc>
        <w:tc>
          <w:tcPr>
            <w:tcW w:w="1184" w:type="pct"/>
            <w:gridSpan w:val="2"/>
            <w:vMerge/>
            <w:tcBorders>
              <w:top w:val="single" w:sz="4" w:space="0" w:color="000000"/>
              <w:left w:val="single" w:sz="4" w:space="0" w:color="000000"/>
              <w:bottom w:val="single" w:sz="4" w:space="0" w:color="000000"/>
              <w:right w:val="single" w:sz="4" w:space="0" w:color="000000"/>
            </w:tcBorders>
            <w:vAlign w:val="center"/>
            <w:hideMark/>
          </w:tcPr>
          <w:p w14:paraId="25489271" w14:textId="77777777" w:rsidR="002E09B6" w:rsidRPr="002E09B6" w:rsidRDefault="002E09B6" w:rsidP="002E09B6">
            <w:pPr>
              <w:spacing w:after="0" w:line="240" w:lineRule="auto"/>
              <w:rPr>
                <w:rFonts w:ascii="Arial" w:eastAsia="Times New Roman" w:hAnsi="Arial" w:cs="Arial"/>
                <w:b/>
                <w:bCs/>
                <w:color w:val="FFFFFF"/>
                <w:kern w:val="0"/>
                <w:sz w:val="20"/>
                <w:szCs w:val="20"/>
                <w14:ligatures w14:val="none"/>
              </w:rPr>
            </w:pPr>
          </w:p>
        </w:tc>
        <w:tc>
          <w:tcPr>
            <w:tcW w:w="308" w:type="pct"/>
            <w:tcBorders>
              <w:top w:val="nil"/>
              <w:left w:val="nil"/>
              <w:bottom w:val="single" w:sz="4" w:space="0" w:color="000000"/>
              <w:right w:val="single" w:sz="4" w:space="0" w:color="000000"/>
            </w:tcBorders>
            <w:shd w:val="clear" w:color="3366FF" w:fill="3366FF"/>
            <w:vAlign w:val="center"/>
            <w:hideMark/>
          </w:tcPr>
          <w:p w14:paraId="6C26C51A"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 </w:t>
            </w:r>
          </w:p>
        </w:tc>
        <w:tc>
          <w:tcPr>
            <w:tcW w:w="562" w:type="pct"/>
            <w:gridSpan w:val="4"/>
            <w:tcBorders>
              <w:top w:val="single" w:sz="4" w:space="0" w:color="000000"/>
              <w:left w:val="nil"/>
              <w:bottom w:val="single" w:sz="4" w:space="0" w:color="000000"/>
              <w:right w:val="single" w:sz="4" w:space="0" w:color="000000"/>
            </w:tcBorders>
            <w:shd w:val="clear" w:color="3366FF" w:fill="3366FF"/>
            <w:vAlign w:val="center"/>
            <w:hideMark/>
          </w:tcPr>
          <w:p w14:paraId="26645E4C"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2025</w:t>
            </w:r>
          </w:p>
        </w:tc>
        <w:tc>
          <w:tcPr>
            <w:tcW w:w="445" w:type="pct"/>
            <w:vMerge w:val="restart"/>
            <w:tcBorders>
              <w:top w:val="nil"/>
              <w:left w:val="single" w:sz="4" w:space="0" w:color="000000"/>
              <w:bottom w:val="single" w:sz="4" w:space="0" w:color="000000"/>
              <w:right w:val="single" w:sz="4" w:space="0" w:color="000000"/>
            </w:tcBorders>
            <w:shd w:val="clear" w:color="3366FF" w:fill="3366FF"/>
            <w:vAlign w:val="center"/>
            <w:hideMark/>
          </w:tcPr>
          <w:p w14:paraId="73825A28"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Implementing Partner</w:t>
            </w:r>
          </w:p>
        </w:tc>
        <w:tc>
          <w:tcPr>
            <w:tcW w:w="302" w:type="pct"/>
            <w:vMerge w:val="restart"/>
            <w:tcBorders>
              <w:top w:val="nil"/>
              <w:left w:val="single" w:sz="4" w:space="0" w:color="000000"/>
              <w:bottom w:val="single" w:sz="4" w:space="0" w:color="000000"/>
              <w:right w:val="single" w:sz="4" w:space="0" w:color="000000"/>
            </w:tcBorders>
            <w:shd w:val="clear" w:color="3366FF" w:fill="3366FF"/>
            <w:vAlign w:val="center"/>
            <w:hideMark/>
          </w:tcPr>
          <w:p w14:paraId="6AC9947C"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Source of Funds</w:t>
            </w:r>
          </w:p>
        </w:tc>
        <w:tc>
          <w:tcPr>
            <w:tcW w:w="499" w:type="pct"/>
            <w:vMerge w:val="restart"/>
            <w:tcBorders>
              <w:top w:val="nil"/>
              <w:left w:val="single" w:sz="4" w:space="0" w:color="000000"/>
              <w:bottom w:val="single" w:sz="4" w:space="0" w:color="000000"/>
              <w:right w:val="single" w:sz="4" w:space="0" w:color="000000"/>
            </w:tcBorders>
            <w:shd w:val="clear" w:color="3366FF" w:fill="3366FF"/>
            <w:vAlign w:val="center"/>
            <w:hideMark/>
          </w:tcPr>
          <w:p w14:paraId="52523EE0"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Budget</w:t>
            </w:r>
            <w:r w:rsidRPr="002E09B6">
              <w:rPr>
                <w:rFonts w:ascii="Arial" w:eastAsia="Times New Roman" w:hAnsi="Arial" w:cs="Arial"/>
                <w:b/>
                <w:bCs/>
                <w:color w:val="FFFFFF"/>
                <w:kern w:val="0"/>
                <w:sz w:val="20"/>
                <w:szCs w:val="20"/>
                <w14:ligatures w14:val="none"/>
              </w:rPr>
              <w:br/>
              <w:t>Description</w:t>
            </w:r>
          </w:p>
        </w:tc>
        <w:tc>
          <w:tcPr>
            <w:tcW w:w="734" w:type="pct"/>
            <w:gridSpan w:val="2"/>
            <w:tcBorders>
              <w:top w:val="single" w:sz="4" w:space="0" w:color="000000"/>
              <w:left w:val="nil"/>
              <w:bottom w:val="single" w:sz="4" w:space="0" w:color="000000"/>
              <w:right w:val="single" w:sz="4" w:space="0" w:color="000000"/>
            </w:tcBorders>
            <w:shd w:val="clear" w:color="3366FF" w:fill="3366FF"/>
            <w:vAlign w:val="center"/>
            <w:hideMark/>
          </w:tcPr>
          <w:p w14:paraId="3842EB85"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 xml:space="preserve"> Amount (US$) </w:t>
            </w:r>
          </w:p>
        </w:tc>
      </w:tr>
      <w:tr w:rsidR="002E09B6" w:rsidRPr="002E09B6" w14:paraId="6FAAEBBB" w14:textId="77777777" w:rsidTr="002E09B6">
        <w:trPr>
          <w:trHeight w:val="930"/>
        </w:trPr>
        <w:tc>
          <w:tcPr>
            <w:tcW w:w="966" w:type="pct"/>
            <w:vMerge/>
            <w:tcBorders>
              <w:top w:val="single" w:sz="4" w:space="0" w:color="000000"/>
              <w:left w:val="single" w:sz="4" w:space="0" w:color="000000"/>
              <w:bottom w:val="single" w:sz="4" w:space="0" w:color="000000"/>
              <w:right w:val="single" w:sz="4" w:space="0" w:color="000000"/>
            </w:tcBorders>
            <w:vAlign w:val="center"/>
            <w:hideMark/>
          </w:tcPr>
          <w:p w14:paraId="3C9B1C5E" w14:textId="77777777" w:rsidR="002E09B6" w:rsidRPr="002E09B6" w:rsidRDefault="002E09B6" w:rsidP="002E09B6">
            <w:pPr>
              <w:spacing w:after="0" w:line="240" w:lineRule="auto"/>
              <w:rPr>
                <w:rFonts w:ascii="Arial" w:eastAsia="Times New Roman" w:hAnsi="Arial" w:cs="Arial"/>
                <w:b/>
                <w:bCs/>
                <w:color w:val="FFFFFF"/>
                <w:kern w:val="0"/>
                <w:sz w:val="20"/>
                <w:szCs w:val="20"/>
                <w14:ligatures w14:val="none"/>
              </w:rPr>
            </w:pPr>
          </w:p>
        </w:tc>
        <w:tc>
          <w:tcPr>
            <w:tcW w:w="1184" w:type="pct"/>
            <w:gridSpan w:val="2"/>
            <w:vMerge/>
            <w:tcBorders>
              <w:top w:val="single" w:sz="4" w:space="0" w:color="000000"/>
              <w:left w:val="single" w:sz="4" w:space="0" w:color="000000"/>
              <w:bottom w:val="single" w:sz="4" w:space="0" w:color="000000"/>
              <w:right w:val="single" w:sz="4" w:space="0" w:color="000000"/>
            </w:tcBorders>
            <w:vAlign w:val="center"/>
            <w:hideMark/>
          </w:tcPr>
          <w:p w14:paraId="259C1A57" w14:textId="77777777" w:rsidR="002E09B6" w:rsidRPr="002E09B6" w:rsidRDefault="002E09B6" w:rsidP="002E09B6">
            <w:pPr>
              <w:spacing w:after="0" w:line="240" w:lineRule="auto"/>
              <w:rPr>
                <w:rFonts w:ascii="Arial" w:eastAsia="Times New Roman" w:hAnsi="Arial" w:cs="Arial"/>
                <w:b/>
                <w:bCs/>
                <w:color w:val="FFFFFF"/>
                <w:kern w:val="0"/>
                <w:sz w:val="20"/>
                <w:szCs w:val="20"/>
                <w14:ligatures w14:val="none"/>
              </w:rPr>
            </w:pPr>
          </w:p>
        </w:tc>
        <w:tc>
          <w:tcPr>
            <w:tcW w:w="308" w:type="pct"/>
            <w:tcBorders>
              <w:top w:val="nil"/>
              <w:left w:val="nil"/>
              <w:bottom w:val="single" w:sz="4" w:space="0" w:color="000000"/>
              <w:right w:val="single" w:sz="4" w:space="0" w:color="000000"/>
            </w:tcBorders>
            <w:shd w:val="clear" w:color="3366FF" w:fill="3366FF"/>
            <w:vAlign w:val="center"/>
            <w:hideMark/>
          </w:tcPr>
          <w:p w14:paraId="70AB4D6D"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Account Code</w:t>
            </w:r>
          </w:p>
        </w:tc>
        <w:tc>
          <w:tcPr>
            <w:tcW w:w="140" w:type="pct"/>
            <w:tcBorders>
              <w:top w:val="nil"/>
              <w:left w:val="nil"/>
              <w:bottom w:val="single" w:sz="4" w:space="0" w:color="000000"/>
              <w:right w:val="single" w:sz="4" w:space="0" w:color="000000"/>
            </w:tcBorders>
            <w:shd w:val="clear" w:color="3366FF" w:fill="3366FF"/>
            <w:vAlign w:val="center"/>
            <w:hideMark/>
          </w:tcPr>
          <w:p w14:paraId="76C635EC"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Q1</w:t>
            </w:r>
          </w:p>
        </w:tc>
        <w:tc>
          <w:tcPr>
            <w:tcW w:w="130" w:type="pct"/>
            <w:tcBorders>
              <w:top w:val="nil"/>
              <w:left w:val="nil"/>
              <w:bottom w:val="single" w:sz="4" w:space="0" w:color="000000"/>
              <w:right w:val="single" w:sz="4" w:space="0" w:color="000000"/>
            </w:tcBorders>
            <w:shd w:val="clear" w:color="3366FF" w:fill="3366FF"/>
            <w:vAlign w:val="center"/>
            <w:hideMark/>
          </w:tcPr>
          <w:p w14:paraId="2D0F8B28"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Q2</w:t>
            </w:r>
          </w:p>
        </w:tc>
        <w:tc>
          <w:tcPr>
            <w:tcW w:w="135" w:type="pct"/>
            <w:tcBorders>
              <w:top w:val="nil"/>
              <w:left w:val="nil"/>
              <w:bottom w:val="single" w:sz="4" w:space="0" w:color="000000"/>
              <w:right w:val="single" w:sz="4" w:space="0" w:color="000000"/>
            </w:tcBorders>
            <w:shd w:val="clear" w:color="3366FF" w:fill="3366FF"/>
            <w:vAlign w:val="center"/>
            <w:hideMark/>
          </w:tcPr>
          <w:p w14:paraId="485A5113"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Q3</w:t>
            </w:r>
          </w:p>
        </w:tc>
        <w:tc>
          <w:tcPr>
            <w:tcW w:w="156" w:type="pct"/>
            <w:tcBorders>
              <w:top w:val="nil"/>
              <w:left w:val="nil"/>
              <w:bottom w:val="single" w:sz="4" w:space="0" w:color="000000"/>
              <w:right w:val="single" w:sz="4" w:space="0" w:color="000000"/>
            </w:tcBorders>
            <w:shd w:val="clear" w:color="3366FF" w:fill="3366FF"/>
            <w:vAlign w:val="center"/>
            <w:hideMark/>
          </w:tcPr>
          <w:p w14:paraId="4BE5340C"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Q4</w:t>
            </w:r>
          </w:p>
        </w:tc>
        <w:tc>
          <w:tcPr>
            <w:tcW w:w="445" w:type="pct"/>
            <w:vMerge/>
            <w:tcBorders>
              <w:top w:val="nil"/>
              <w:left w:val="single" w:sz="4" w:space="0" w:color="000000"/>
              <w:bottom w:val="single" w:sz="4" w:space="0" w:color="000000"/>
              <w:right w:val="single" w:sz="4" w:space="0" w:color="000000"/>
            </w:tcBorders>
            <w:vAlign w:val="center"/>
            <w:hideMark/>
          </w:tcPr>
          <w:p w14:paraId="330A8AA6" w14:textId="77777777" w:rsidR="002E09B6" w:rsidRPr="002E09B6" w:rsidRDefault="002E09B6" w:rsidP="002E09B6">
            <w:pPr>
              <w:spacing w:after="0" w:line="240" w:lineRule="auto"/>
              <w:rPr>
                <w:rFonts w:ascii="Arial" w:eastAsia="Times New Roman" w:hAnsi="Arial" w:cs="Arial"/>
                <w:b/>
                <w:bCs/>
                <w:color w:val="FFFFFF"/>
                <w:kern w:val="0"/>
                <w:sz w:val="20"/>
                <w:szCs w:val="20"/>
                <w14:ligatures w14:val="none"/>
              </w:rPr>
            </w:pPr>
          </w:p>
        </w:tc>
        <w:tc>
          <w:tcPr>
            <w:tcW w:w="302" w:type="pct"/>
            <w:vMerge/>
            <w:tcBorders>
              <w:top w:val="nil"/>
              <w:left w:val="single" w:sz="4" w:space="0" w:color="000000"/>
              <w:bottom w:val="single" w:sz="4" w:space="0" w:color="000000"/>
              <w:right w:val="single" w:sz="4" w:space="0" w:color="000000"/>
            </w:tcBorders>
            <w:vAlign w:val="center"/>
            <w:hideMark/>
          </w:tcPr>
          <w:p w14:paraId="3675D76D" w14:textId="77777777" w:rsidR="002E09B6" w:rsidRPr="002E09B6" w:rsidRDefault="002E09B6" w:rsidP="002E09B6">
            <w:pPr>
              <w:spacing w:after="0" w:line="240" w:lineRule="auto"/>
              <w:rPr>
                <w:rFonts w:ascii="Arial" w:eastAsia="Times New Roman" w:hAnsi="Arial" w:cs="Arial"/>
                <w:b/>
                <w:bCs/>
                <w:color w:val="FFFFFF"/>
                <w:kern w:val="0"/>
                <w:sz w:val="20"/>
                <w:szCs w:val="20"/>
                <w14:ligatures w14:val="none"/>
              </w:rPr>
            </w:pPr>
          </w:p>
        </w:tc>
        <w:tc>
          <w:tcPr>
            <w:tcW w:w="499" w:type="pct"/>
            <w:vMerge/>
            <w:tcBorders>
              <w:top w:val="nil"/>
              <w:left w:val="single" w:sz="4" w:space="0" w:color="000000"/>
              <w:bottom w:val="single" w:sz="4" w:space="0" w:color="000000"/>
              <w:right w:val="single" w:sz="4" w:space="0" w:color="000000"/>
            </w:tcBorders>
            <w:vAlign w:val="center"/>
            <w:hideMark/>
          </w:tcPr>
          <w:p w14:paraId="61D63142" w14:textId="77777777" w:rsidR="002E09B6" w:rsidRPr="002E09B6" w:rsidRDefault="002E09B6" w:rsidP="002E09B6">
            <w:pPr>
              <w:spacing w:after="0" w:line="240" w:lineRule="auto"/>
              <w:rPr>
                <w:rFonts w:ascii="Arial" w:eastAsia="Times New Roman" w:hAnsi="Arial" w:cs="Arial"/>
                <w:b/>
                <w:bCs/>
                <w:color w:val="FFFFFF"/>
                <w:kern w:val="0"/>
                <w:sz w:val="20"/>
                <w:szCs w:val="20"/>
                <w14:ligatures w14:val="none"/>
              </w:rPr>
            </w:pPr>
          </w:p>
        </w:tc>
        <w:tc>
          <w:tcPr>
            <w:tcW w:w="367" w:type="pct"/>
            <w:tcBorders>
              <w:top w:val="nil"/>
              <w:left w:val="nil"/>
              <w:bottom w:val="single" w:sz="4" w:space="0" w:color="000000"/>
              <w:right w:val="single" w:sz="4" w:space="0" w:color="000000"/>
            </w:tcBorders>
            <w:shd w:val="clear" w:color="3366FF" w:fill="3366FF"/>
            <w:vAlign w:val="center"/>
            <w:hideMark/>
          </w:tcPr>
          <w:p w14:paraId="712CA7CF"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2025</w:t>
            </w:r>
          </w:p>
        </w:tc>
        <w:tc>
          <w:tcPr>
            <w:tcW w:w="367" w:type="pct"/>
            <w:tcBorders>
              <w:top w:val="nil"/>
              <w:left w:val="nil"/>
              <w:bottom w:val="single" w:sz="4" w:space="0" w:color="000000"/>
              <w:right w:val="single" w:sz="4" w:space="0" w:color="000000"/>
            </w:tcBorders>
            <w:shd w:val="clear" w:color="3366FF" w:fill="3366FF"/>
            <w:vAlign w:val="center"/>
            <w:hideMark/>
          </w:tcPr>
          <w:p w14:paraId="592EB38C" w14:textId="77777777" w:rsidR="002E09B6" w:rsidRPr="002E09B6" w:rsidRDefault="002E09B6" w:rsidP="002E09B6">
            <w:pPr>
              <w:spacing w:after="0" w:line="240" w:lineRule="auto"/>
              <w:jc w:val="center"/>
              <w:rPr>
                <w:rFonts w:ascii="Arial" w:eastAsia="Times New Roman" w:hAnsi="Arial" w:cs="Arial"/>
                <w:b/>
                <w:bCs/>
                <w:color w:val="FFFFFF"/>
                <w:kern w:val="0"/>
                <w:sz w:val="20"/>
                <w:szCs w:val="20"/>
                <w14:ligatures w14:val="none"/>
              </w:rPr>
            </w:pPr>
            <w:r w:rsidRPr="002E09B6">
              <w:rPr>
                <w:rFonts w:ascii="Arial" w:eastAsia="Times New Roman" w:hAnsi="Arial" w:cs="Arial"/>
                <w:b/>
                <w:bCs/>
                <w:color w:val="FFFFFF"/>
                <w:kern w:val="0"/>
                <w:sz w:val="20"/>
                <w:szCs w:val="20"/>
                <w14:ligatures w14:val="none"/>
              </w:rPr>
              <w:t xml:space="preserve"> Total </w:t>
            </w:r>
          </w:p>
        </w:tc>
      </w:tr>
      <w:tr w:rsidR="002E09B6" w:rsidRPr="002E09B6" w14:paraId="4AC1DFE6" w14:textId="77777777" w:rsidTr="002E09B6">
        <w:trPr>
          <w:trHeight w:val="330"/>
        </w:trPr>
        <w:tc>
          <w:tcPr>
            <w:tcW w:w="966" w:type="pct"/>
            <w:vMerge w:val="restart"/>
            <w:tcBorders>
              <w:top w:val="nil"/>
              <w:left w:val="single" w:sz="4" w:space="0" w:color="000000"/>
              <w:bottom w:val="nil"/>
              <w:right w:val="single" w:sz="4" w:space="0" w:color="000000"/>
            </w:tcBorders>
            <w:hideMark/>
          </w:tcPr>
          <w:p w14:paraId="0B225807"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UNDP outcome 2 (UNSDCF outcome 3). By 2028, Bhutan’s environment remains sustainably managed, and its people are more resilient to disaster risks and climate change</w:t>
            </w:r>
          </w:p>
        </w:tc>
        <w:tc>
          <w:tcPr>
            <w:tcW w:w="88" w:type="pct"/>
            <w:tcBorders>
              <w:top w:val="nil"/>
              <w:left w:val="nil"/>
              <w:bottom w:val="single" w:sz="4" w:space="0" w:color="000000"/>
              <w:right w:val="single" w:sz="4" w:space="0" w:color="000000"/>
            </w:tcBorders>
            <w:hideMark/>
          </w:tcPr>
          <w:p w14:paraId="3F97B805" w14:textId="77777777" w:rsidR="002E09B6" w:rsidRPr="002E09B6" w:rsidRDefault="002E09B6" w:rsidP="002E09B6">
            <w:pPr>
              <w:spacing w:after="0" w:line="240" w:lineRule="auto"/>
              <w:jc w:val="center"/>
              <w:rPr>
                <w:rFonts w:ascii="Arial Narrow" w:eastAsia="Times New Roman" w:hAnsi="Arial Narrow" w:cs="Arial"/>
                <w:color w:val="000000"/>
                <w:kern w:val="0"/>
                <w:sz w:val="22"/>
                <w:szCs w:val="22"/>
                <w14:ligatures w14:val="none"/>
              </w:rPr>
            </w:pPr>
            <w:r w:rsidRPr="002E09B6">
              <w:rPr>
                <w:rFonts w:ascii="Arial Narrow" w:eastAsia="Times New Roman" w:hAnsi="Arial Narrow" w:cs="Arial"/>
                <w:color w:val="000000"/>
                <w:kern w:val="0"/>
                <w:sz w:val="22"/>
                <w:szCs w:val="22"/>
                <w14:ligatures w14:val="none"/>
              </w:rPr>
              <w:t>1</w:t>
            </w:r>
          </w:p>
        </w:tc>
        <w:tc>
          <w:tcPr>
            <w:tcW w:w="1095" w:type="pct"/>
            <w:tcBorders>
              <w:top w:val="nil"/>
              <w:left w:val="nil"/>
              <w:bottom w:val="single" w:sz="4" w:space="0" w:color="000000"/>
              <w:right w:val="single" w:sz="4" w:space="0" w:color="000000"/>
            </w:tcBorders>
            <w:hideMark/>
          </w:tcPr>
          <w:p w14:paraId="3A7B697D" w14:textId="77777777" w:rsidR="002E09B6" w:rsidRPr="002E09B6" w:rsidRDefault="002E09B6" w:rsidP="002E09B6">
            <w:pPr>
              <w:spacing w:after="0" w:line="240" w:lineRule="auto"/>
              <w:rPr>
                <w:rFonts w:ascii="Arial Narrow" w:eastAsia="Times New Roman" w:hAnsi="Arial Narrow" w:cs="Arial"/>
                <w:b/>
                <w:bCs/>
                <w:color w:val="000000"/>
                <w:kern w:val="0"/>
                <w:sz w:val="22"/>
                <w:szCs w:val="22"/>
                <w14:ligatures w14:val="none"/>
              </w:rPr>
            </w:pPr>
            <w:r w:rsidRPr="002E09B6">
              <w:rPr>
                <w:rFonts w:ascii="Arial Narrow" w:eastAsia="Times New Roman" w:hAnsi="Arial Narrow" w:cs="Arial"/>
                <w:b/>
                <w:bCs/>
                <w:color w:val="000000"/>
                <w:kern w:val="0"/>
                <w:sz w:val="22"/>
                <w:szCs w:val="22"/>
                <w14:ligatures w14:val="none"/>
              </w:rPr>
              <w:t>Recovery and Reclamation Program</w:t>
            </w:r>
          </w:p>
        </w:tc>
        <w:tc>
          <w:tcPr>
            <w:tcW w:w="308" w:type="pct"/>
            <w:tcBorders>
              <w:top w:val="nil"/>
              <w:left w:val="nil"/>
              <w:bottom w:val="single" w:sz="4" w:space="0" w:color="000000"/>
              <w:right w:val="single" w:sz="4" w:space="0" w:color="000000"/>
            </w:tcBorders>
            <w:vAlign w:val="center"/>
            <w:hideMark/>
          </w:tcPr>
          <w:p w14:paraId="2B8AB9CD" w14:textId="77777777" w:rsidR="002E09B6" w:rsidRPr="002E09B6" w:rsidRDefault="002E09B6" w:rsidP="002E09B6">
            <w:pPr>
              <w:spacing w:after="0" w:line="240" w:lineRule="auto"/>
              <w:jc w:val="center"/>
              <w:rPr>
                <w:rFonts w:ascii="Arial Narrow" w:eastAsia="Times New Roman" w:hAnsi="Arial Narrow" w:cs="Arial"/>
                <w:b/>
                <w:bCs/>
                <w:color w:val="000000"/>
                <w:kern w:val="0"/>
                <w:sz w:val="22"/>
                <w:szCs w:val="22"/>
                <w14:ligatures w14:val="none"/>
              </w:rPr>
            </w:pPr>
            <w:r w:rsidRPr="002E09B6">
              <w:rPr>
                <w:rFonts w:ascii="Arial Narrow" w:eastAsia="Times New Roman" w:hAnsi="Arial Narrow" w:cs="Arial"/>
                <w:b/>
                <w:bCs/>
                <w:color w:val="000000"/>
                <w:kern w:val="0"/>
                <w:sz w:val="22"/>
                <w:szCs w:val="22"/>
                <w14:ligatures w14:val="none"/>
              </w:rPr>
              <w:t> </w:t>
            </w:r>
          </w:p>
        </w:tc>
        <w:tc>
          <w:tcPr>
            <w:tcW w:w="140" w:type="pct"/>
            <w:tcBorders>
              <w:top w:val="nil"/>
              <w:left w:val="nil"/>
              <w:bottom w:val="single" w:sz="4" w:space="0" w:color="000000"/>
              <w:right w:val="single" w:sz="4" w:space="0" w:color="000000"/>
            </w:tcBorders>
            <w:hideMark/>
          </w:tcPr>
          <w:p w14:paraId="0406BBB4" w14:textId="77777777" w:rsidR="002E09B6" w:rsidRPr="002E09B6" w:rsidRDefault="002E09B6" w:rsidP="002E09B6">
            <w:pPr>
              <w:spacing w:after="0" w:line="240" w:lineRule="auto"/>
              <w:jc w:val="center"/>
              <w:rPr>
                <w:rFonts w:ascii="Arial" w:eastAsia="Times New Roman" w:hAnsi="Arial" w:cs="Arial"/>
                <w:color w:val="9900CC"/>
                <w:kern w:val="0"/>
                <w:sz w:val="20"/>
                <w:szCs w:val="20"/>
                <w14:ligatures w14:val="none"/>
              </w:rPr>
            </w:pPr>
            <w:r w:rsidRPr="002E09B6">
              <w:rPr>
                <w:rFonts w:ascii="Arial" w:eastAsia="Times New Roman" w:hAnsi="Arial" w:cs="Arial"/>
                <w:color w:val="9900CC"/>
                <w:kern w:val="0"/>
                <w:sz w:val="20"/>
                <w:szCs w:val="20"/>
                <w14:ligatures w14:val="none"/>
              </w:rPr>
              <w:t> </w:t>
            </w:r>
          </w:p>
        </w:tc>
        <w:tc>
          <w:tcPr>
            <w:tcW w:w="130" w:type="pct"/>
            <w:tcBorders>
              <w:top w:val="nil"/>
              <w:left w:val="nil"/>
              <w:bottom w:val="single" w:sz="4" w:space="0" w:color="000000"/>
              <w:right w:val="single" w:sz="4" w:space="0" w:color="000000"/>
            </w:tcBorders>
            <w:hideMark/>
          </w:tcPr>
          <w:p w14:paraId="115B8DC8" w14:textId="77777777" w:rsidR="002E09B6" w:rsidRPr="002E09B6" w:rsidRDefault="002E09B6" w:rsidP="002E09B6">
            <w:pPr>
              <w:spacing w:after="0" w:line="240" w:lineRule="auto"/>
              <w:jc w:val="center"/>
              <w:rPr>
                <w:rFonts w:ascii="Arial" w:eastAsia="Times New Roman" w:hAnsi="Arial" w:cs="Arial"/>
                <w:color w:val="9900CC"/>
                <w:kern w:val="0"/>
                <w:sz w:val="20"/>
                <w:szCs w:val="20"/>
                <w14:ligatures w14:val="none"/>
              </w:rPr>
            </w:pPr>
            <w:r w:rsidRPr="002E09B6">
              <w:rPr>
                <w:rFonts w:ascii="Arial" w:eastAsia="Times New Roman" w:hAnsi="Arial" w:cs="Arial"/>
                <w:color w:val="9900CC"/>
                <w:kern w:val="0"/>
                <w:sz w:val="20"/>
                <w:szCs w:val="20"/>
                <w14:ligatures w14:val="none"/>
              </w:rPr>
              <w:t> </w:t>
            </w:r>
          </w:p>
        </w:tc>
        <w:tc>
          <w:tcPr>
            <w:tcW w:w="135" w:type="pct"/>
            <w:tcBorders>
              <w:top w:val="nil"/>
              <w:left w:val="nil"/>
              <w:bottom w:val="single" w:sz="4" w:space="0" w:color="000000"/>
              <w:right w:val="single" w:sz="4" w:space="0" w:color="000000"/>
            </w:tcBorders>
            <w:shd w:val="clear" w:color="FFFFFF" w:fill="FFFFFF"/>
            <w:hideMark/>
          </w:tcPr>
          <w:p w14:paraId="005AFDA3" w14:textId="77777777" w:rsidR="002E09B6" w:rsidRPr="002E09B6" w:rsidRDefault="002E09B6" w:rsidP="002E09B6">
            <w:pPr>
              <w:spacing w:after="0" w:line="240" w:lineRule="auto"/>
              <w:jc w:val="center"/>
              <w:rPr>
                <w:rFonts w:ascii="Arial" w:eastAsia="Times New Roman" w:hAnsi="Arial" w:cs="Arial"/>
                <w:color w:val="9900CC"/>
                <w:kern w:val="0"/>
                <w:sz w:val="20"/>
                <w:szCs w:val="20"/>
                <w14:ligatures w14:val="none"/>
              </w:rPr>
            </w:pPr>
            <w:r w:rsidRPr="002E09B6">
              <w:rPr>
                <w:rFonts w:ascii="Arial" w:eastAsia="Times New Roman" w:hAnsi="Arial" w:cs="Arial"/>
                <w:color w:val="9900CC"/>
                <w:kern w:val="0"/>
                <w:sz w:val="20"/>
                <w:szCs w:val="20"/>
                <w14:ligatures w14:val="none"/>
              </w:rPr>
              <w:t> </w:t>
            </w:r>
          </w:p>
        </w:tc>
        <w:tc>
          <w:tcPr>
            <w:tcW w:w="156" w:type="pct"/>
            <w:tcBorders>
              <w:top w:val="nil"/>
              <w:left w:val="nil"/>
              <w:bottom w:val="single" w:sz="4" w:space="0" w:color="000000"/>
              <w:right w:val="single" w:sz="4" w:space="0" w:color="000000"/>
            </w:tcBorders>
            <w:hideMark/>
          </w:tcPr>
          <w:p w14:paraId="3DC110BC" w14:textId="77777777" w:rsidR="002E09B6" w:rsidRPr="002E09B6" w:rsidRDefault="002E09B6" w:rsidP="002E09B6">
            <w:pPr>
              <w:spacing w:after="0" w:line="240" w:lineRule="auto"/>
              <w:jc w:val="center"/>
              <w:rPr>
                <w:rFonts w:ascii="Arial" w:eastAsia="Times New Roman" w:hAnsi="Arial" w:cs="Arial"/>
                <w:color w:val="9900CC"/>
                <w:kern w:val="0"/>
                <w:sz w:val="20"/>
                <w:szCs w:val="20"/>
                <w14:ligatures w14:val="none"/>
              </w:rPr>
            </w:pPr>
            <w:r w:rsidRPr="002E09B6">
              <w:rPr>
                <w:rFonts w:ascii="Arial" w:eastAsia="Times New Roman" w:hAnsi="Arial" w:cs="Arial"/>
                <w:color w:val="9900CC"/>
                <w:kern w:val="0"/>
                <w:sz w:val="20"/>
                <w:szCs w:val="20"/>
                <w14:ligatures w14:val="none"/>
              </w:rPr>
              <w:t> </w:t>
            </w:r>
          </w:p>
        </w:tc>
        <w:tc>
          <w:tcPr>
            <w:tcW w:w="445" w:type="pct"/>
            <w:tcBorders>
              <w:top w:val="nil"/>
              <w:left w:val="nil"/>
              <w:bottom w:val="single" w:sz="4" w:space="0" w:color="000000"/>
              <w:right w:val="single" w:sz="4" w:space="0" w:color="000000"/>
            </w:tcBorders>
            <w:hideMark/>
          </w:tcPr>
          <w:p w14:paraId="32ABD0D2"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02" w:type="pct"/>
            <w:tcBorders>
              <w:top w:val="nil"/>
              <w:left w:val="nil"/>
              <w:bottom w:val="single" w:sz="4" w:space="0" w:color="000000"/>
              <w:right w:val="single" w:sz="4" w:space="0" w:color="000000"/>
            </w:tcBorders>
            <w:shd w:val="clear" w:color="FFFFFF" w:fill="FFFFFF"/>
            <w:hideMark/>
          </w:tcPr>
          <w:p w14:paraId="0476C5F6"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499" w:type="pct"/>
            <w:tcBorders>
              <w:top w:val="nil"/>
              <w:left w:val="nil"/>
              <w:bottom w:val="single" w:sz="4" w:space="0" w:color="000000"/>
              <w:right w:val="single" w:sz="4" w:space="0" w:color="000000"/>
            </w:tcBorders>
            <w:hideMark/>
          </w:tcPr>
          <w:p w14:paraId="5B950E49"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67" w:type="pct"/>
            <w:tcBorders>
              <w:top w:val="nil"/>
              <w:left w:val="nil"/>
              <w:bottom w:val="single" w:sz="4" w:space="0" w:color="000000"/>
              <w:right w:val="single" w:sz="4" w:space="0" w:color="000000"/>
            </w:tcBorders>
            <w:hideMark/>
          </w:tcPr>
          <w:p w14:paraId="0051EEE6" w14:textId="77777777" w:rsidR="002E09B6" w:rsidRPr="002E09B6" w:rsidRDefault="002E09B6" w:rsidP="002E09B6">
            <w:pPr>
              <w:spacing w:after="0" w:line="240" w:lineRule="auto"/>
              <w:rPr>
                <w:rFonts w:ascii="Arial" w:eastAsia="Times New Roman" w:hAnsi="Arial" w:cs="Arial"/>
                <w:color w:val="9900CC"/>
                <w:kern w:val="0"/>
                <w:sz w:val="20"/>
                <w:szCs w:val="20"/>
                <w14:ligatures w14:val="none"/>
              </w:rPr>
            </w:pPr>
            <w:r w:rsidRPr="002E09B6">
              <w:rPr>
                <w:rFonts w:ascii="Arial" w:eastAsia="Times New Roman" w:hAnsi="Arial" w:cs="Arial"/>
                <w:color w:val="9900CC"/>
                <w:kern w:val="0"/>
                <w:sz w:val="20"/>
                <w:szCs w:val="20"/>
                <w14:ligatures w14:val="none"/>
              </w:rPr>
              <w:t> </w:t>
            </w:r>
          </w:p>
        </w:tc>
        <w:tc>
          <w:tcPr>
            <w:tcW w:w="367" w:type="pct"/>
            <w:tcBorders>
              <w:top w:val="nil"/>
              <w:left w:val="nil"/>
              <w:bottom w:val="single" w:sz="4" w:space="0" w:color="000000"/>
              <w:right w:val="single" w:sz="4" w:space="0" w:color="000000"/>
            </w:tcBorders>
            <w:hideMark/>
          </w:tcPr>
          <w:p w14:paraId="6246A201" w14:textId="77777777" w:rsidR="002E09B6" w:rsidRPr="002E09B6" w:rsidRDefault="002E09B6" w:rsidP="002E09B6">
            <w:pPr>
              <w:spacing w:after="0" w:line="240" w:lineRule="auto"/>
              <w:rPr>
                <w:rFonts w:ascii="Arial" w:eastAsia="Times New Roman" w:hAnsi="Arial" w:cs="Arial"/>
                <w:color w:val="9900CC"/>
                <w:kern w:val="0"/>
                <w:sz w:val="20"/>
                <w:szCs w:val="20"/>
                <w14:ligatures w14:val="none"/>
              </w:rPr>
            </w:pPr>
            <w:r w:rsidRPr="002E09B6">
              <w:rPr>
                <w:rFonts w:ascii="Arial" w:eastAsia="Times New Roman" w:hAnsi="Arial" w:cs="Arial"/>
                <w:color w:val="9900CC"/>
                <w:kern w:val="0"/>
                <w:sz w:val="20"/>
                <w:szCs w:val="20"/>
                <w14:ligatures w14:val="none"/>
              </w:rPr>
              <w:t> </w:t>
            </w:r>
          </w:p>
        </w:tc>
      </w:tr>
      <w:tr w:rsidR="002E09B6" w:rsidRPr="002E09B6" w14:paraId="1F9B20CB" w14:textId="77777777" w:rsidTr="002E09B6">
        <w:trPr>
          <w:trHeight w:val="330"/>
        </w:trPr>
        <w:tc>
          <w:tcPr>
            <w:tcW w:w="966" w:type="pct"/>
            <w:vMerge/>
            <w:tcBorders>
              <w:top w:val="nil"/>
              <w:left w:val="single" w:sz="4" w:space="0" w:color="000000"/>
              <w:bottom w:val="nil"/>
              <w:right w:val="single" w:sz="4" w:space="0" w:color="000000"/>
            </w:tcBorders>
            <w:vAlign w:val="center"/>
            <w:hideMark/>
          </w:tcPr>
          <w:p w14:paraId="0AB75320"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p>
        </w:tc>
        <w:tc>
          <w:tcPr>
            <w:tcW w:w="88" w:type="pct"/>
            <w:tcBorders>
              <w:top w:val="nil"/>
              <w:left w:val="nil"/>
              <w:bottom w:val="single" w:sz="4" w:space="0" w:color="000000"/>
              <w:right w:val="single" w:sz="4" w:space="0" w:color="000000"/>
            </w:tcBorders>
            <w:hideMark/>
          </w:tcPr>
          <w:p w14:paraId="35FC9A90" w14:textId="77777777" w:rsidR="002E09B6" w:rsidRPr="002E09B6" w:rsidRDefault="002E09B6" w:rsidP="002E09B6">
            <w:pPr>
              <w:spacing w:after="0" w:line="240" w:lineRule="auto"/>
              <w:jc w:val="center"/>
              <w:rPr>
                <w:rFonts w:ascii="Arial Narrow" w:eastAsia="Times New Roman" w:hAnsi="Arial Narrow" w:cs="Arial"/>
                <w:color w:val="000000"/>
                <w:kern w:val="0"/>
                <w:sz w:val="22"/>
                <w:szCs w:val="22"/>
                <w14:ligatures w14:val="none"/>
              </w:rPr>
            </w:pPr>
            <w:r w:rsidRPr="002E09B6">
              <w:rPr>
                <w:rFonts w:ascii="Arial Narrow" w:eastAsia="Times New Roman" w:hAnsi="Arial Narrow" w:cs="Arial"/>
                <w:color w:val="000000"/>
                <w:kern w:val="0"/>
                <w:sz w:val="22"/>
                <w:szCs w:val="22"/>
                <w14:ligatures w14:val="none"/>
              </w:rPr>
              <w:t> </w:t>
            </w:r>
          </w:p>
        </w:tc>
        <w:tc>
          <w:tcPr>
            <w:tcW w:w="1095" w:type="pct"/>
            <w:tcBorders>
              <w:top w:val="nil"/>
              <w:left w:val="nil"/>
              <w:bottom w:val="single" w:sz="4" w:space="0" w:color="000000"/>
              <w:right w:val="single" w:sz="4" w:space="0" w:color="000000"/>
            </w:tcBorders>
            <w:hideMark/>
          </w:tcPr>
          <w:p w14:paraId="36C25909" w14:textId="77777777" w:rsidR="002E09B6" w:rsidRPr="002E09B6" w:rsidRDefault="002E09B6" w:rsidP="002E09B6">
            <w:pPr>
              <w:spacing w:after="0" w:line="240" w:lineRule="auto"/>
              <w:rPr>
                <w:rFonts w:ascii="Arial Narrow" w:eastAsia="Times New Roman" w:hAnsi="Arial Narrow" w:cs="Arial"/>
                <w:color w:val="000000"/>
                <w:kern w:val="0"/>
                <w:sz w:val="22"/>
                <w:szCs w:val="22"/>
                <w14:ligatures w14:val="none"/>
              </w:rPr>
            </w:pPr>
            <w:r w:rsidRPr="002E09B6">
              <w:rPr>
                <w:rFonts w:ascii="Arial Narrow" w:eastAsia="Times New Roman" w:hAnsi="Arial Narrow" w:cs="Arial"/>
                <w:color w:val="000000"/>
                <w:kern w:val="0"/>
                <w:sz w:val="22"/>
                <w:szCs w:val="22"/>
                <w14:ligatures w14:val="none"/>
              </w:rPr>
              <w:t>1.1. Safety Gears for Field officers (4 sets)</w:t>
            </w:r>
          </w:p>
        </w:tc>
        <w:tc>
          <w:tcPr>
            <w:tcW w:w="308" w:type="pct"/>
            <w:tcBorders>
              <w:top w:val="nil"/>
              <w:left w:val="nil"/>
              <w:bottom w:val="single" w:sz="4" w:space="0" w:color="000000"/>
              <w:right w:val="single" w:sz="4" w:space="0" w:color="000000"/>
            </w:tcBorders>
            <w:vAlign w:val="center"/>
            <w:hideMark/>
          </w:tcPr>
          <w:p w14:paraId="58DE7620" w14:textId="77777777" w:rsidR="002E09B6" w:rsidRPr="002E09B6" w:rsidRDefault="002E09B6" w:rsidP="002E09B6">
            <w:pPr>
              <w:spacing w:after="0" w:line="240" w:lineRule="auto"/>
              <w:jc w:val="center"/>
              <w:rPr>
                <w:rFonts w:ascii="Arial Narrow" w:eastAsia="Times New Roman" w:hAnsi="Arial Narrow" w:cs="Arial"/>
                <w:color w:val="000000"/>
                <w:kern w:val="0"/>
                <w:sz w:val="22"/>
                <w:szCs w:val="22"/>
                <w14:ligatures w14:val="none"/>
              </w:rPr>
            </w:pPr>
            <w:r w:rsidRPr="002E09B6">
              <w:rPr>
                <w:rFonts w:ascii="Arial Narrow" w:eastAsia="Times New Roman" w:hAnsi="Arial Narrow" w:cs="Arial"/>
                <w:color w:val="000000"/>
                <w:kern w:val="0"/>
                <w:sz w:val="22"/>
                <w:szCs w:val="22"/>
                <w14:ligatures w14:val="none"/>
              </w:rPr>
              <w:t>72200</w:t>
            </w:r>
          </w:p>
        </w:tc>
        <w:tc>
          <w:tcPr>
            <w:tcW w:w="140" w:type="pct"/>
            <w:tcBorders>
              <w:top w:val="nil"/>
              <w:left w:val="nil"/>
              <w:bottom w:val="single" w:sz="4" w:space="0" w:color="000000"/>
              <w:right w:val="single" w:sz="4" w:space="0" w:color="000000"/>
            </w:tcBorders>
            <w:hideMark/>
          </w:tcPr>
          <w:p w14:paraId="69668AE1" w14:textId="77777777" w:rsidR="002E09B6" w:rsidRPr="002E09B6" w:rsidRDefault="002E09B6" w:rsidP="002E09B6">
            <w:pPr>
              <w:spacing w:after="0" w:line="240" w:lineRule="auto"/>
              <w:jc w:val="center"/>
              <w:rPr>
                <w:rFonts w:ascii="Arial" w:eastAsia="Times New Roman" w:hAnsi="Arial" w:cs="Arial"/>
                <w:color w:val="9900CC"/>
                <w:kern w:val="0"/>
                <w:sz w:val="20"/>
                <w:szCs w:val="20"/>
                <w14:ligatures w14:val="none"/>
              </w:rPr>
            </w:pPr>
            <w:r w:rsidRPr="002E09B6">
              <w:rPr>
                <w:rFonts w:ascii="Arial" w:eastAsia="Times New Roman" w:hAnsi="Arial" w:cs="Arial"/>
                <w:color w:val="9900CC"/>
                <w:kern w:val="0"/>
                <w:sz w:val="20"/>
                <w:szCs w:val="20"/>
                <w14:ligatures w14:val="none"/>
              </w:rPr>
              <w:t> </w:t>
            </w:r>
          </w:p>
        </w:tc>
        <w:tc>
          <w:tcPr>
            <w:tcW w:w="130" w:type="pct"/>
            <w:tcBorders>
              <w:top w:val="nil"/>
              <w:left w:val="nil"/>
              <w:bottom w:val="single" w:sz="4" w:space="0" w:color="000000"/>
              <w:right w:val="single" w:sz="4" w:space="0" w:color="000000"/>
            </w:tcBorders>
            <w:hideMark/>
          </w:tcPr>
          <w:p w14:paraId="1DEAD11A"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35" w:type="pct"/>
            <w:tcBorders>
              <w:top w:val="nil"/>
              <w:left w:val="nil"/>
              <w:bottom w:val="single" w:sz="4" w:space="0" w:color="000000"/>
              <w:right w:val="single" w:sz="4" w:space="0" w:color="000000"/>
            </w:tcBorders>
            <w:hideMark/>
          </w:tcPr>
          <w:p w14:paraId="5464937B"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X</w:t>
            </w:r>
          </w:p>
        </w:tc>
        <w:tc>
          <w:tcPr>
            <w:tcW w:w="156" w:type="pct"/>
            <w:tcBorders>
              <w:top w:val="nil"/>
              <w:left w:val="nil"/>
              <w:bottom w:val="single" w:sz="4" w:space="0" w:color="000000"/>
              <w:right w:val="single" w:sz="4" w:space="0" w:color="000000"/>
            </w:tcBorders>
            <w:hideMark/>
          </w:tcPr>
          <w:p w14:paraId="317AC900"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445" w:type="pct"/>
            <w:tcBorders>
              <w:top w:val="nil"/>
              <w:left w:val="nil"/>
              <w:bottom w:val="single" w:sz="4" w:space="0" w:color="000000"/>
              <w:right w:val="single" w:sz="4" w:space="0" w:color="000000"/>
            </w:tcBorders>
            <w:vAlign w:val="center"/>
            <w:hideMark/>
          </w:tcPr>
          <w:p w14:paraId="4E7DCD61"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NOU</w:t>
            </w:r>
          </w:p>
        </w:tc>
        <w:tc>
          <w:tcPr>
            <w:tcW w:w="302" w:type="pct"/>
            <w:tcBorders>
              <w:top w:val="nil"/>
              <w:left w:val="nil"/>
              <w:bottom w:val="single" w:sz="4" w:space="0" w:color="000000"/>
              <w:right w:val="single" w:sz="4" w:space="0" w:color="000000"/>
            </w:tcBorders>
            <w:vAlign w:val="center"/>
            <w:hideMark/>
          </w:tcPr>
          <w:p w14:paraId="4B3CEDE9"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MLF</w:t>
            </w:r>
          </w:p>
        </w:tc>
        <w:tc>
          <w:tcPr>
            <w:tcW w:w="499" w:type="pct"/>
            <w:tcBorders>
              <w:top w:val="nil"/>
              <w:left w:val="nil"/>
              <w:bottom w:val="single" w:sz="4" w:space="0" w:color="000000"/>
              <w:right w:val="single" w:sz="4" w:space="0" w:color="000000"/>
            </w:tcBorders>
            <w:vAlign w:val="center"/>
            <w:hideMark/>
          </w:tcPr>
          <w:p w14:paraId="7B7FDE28"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Equipment</w:t>
            </w:r>
          </w:p>
        </w:tc>
        <w:tc>
          <w:tcPr>
            <w:tcW w:w="367" w:type="pct"/>
            <w:tcBorders>
              <w:top w:val="nil"/>
              <w:left w:val="nil"/>
              <w:bottom w:val="single" w:sz="4" w:space="0" w:color="000000"/>
              <w:right w:val="single" w:sz="4" w:space="0" w:color="000000"/>
            </w:tcBorders>
            <w:vAlign w:val="center"/>
            <w:hideMark/>
          </w:tcPr>
          <w:p w14:paraId="737A8E8D"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xml:space="preserve">       4,000.00 </w:t>
            </w:r>
          </w:p>
        </w:tc>
        <w:tc>
          <w:tcPr>
            <w:tcW w:w="367" w:type="pct"/>
            <w:tcBorders>
              <w:top w:val="nil"/>
              <w:left w:val="nil"/>
              <w:bottom w:val="single" w:sz="4" w:space="0" w:color="000000"/>
              <w:right w:val="single" w:sz="4" w:space="0" w:color="000000"/>
            </w:tcBorders>
            <w:vAlign w:val="center"/>
            <w:hideMark/>
          </w:tcPr>
          <w:p w14:paraId="3FBBB853"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xml:space="preserve">       4,000.00 </w:t>
            </w:r>
          </w:p>
        </w:tc>
      </w:tr>
      <w:tr w:rsidR="002E09B6" w:rsidRPr="002E09B6" w14:paraId="621C254B" w14:textId="77777777" w:rsidTr="002E09B6">
        <w:trPr>
          <w:trHeight w:val="660"/>
        </w:trPr>
        <w:tc>
          <w:tcPr>
            <w:tcW w:w="966" w:type="pct"/>
            <w:vMerge/>
            <w:tcBorders>
              <w:top w:val="nil"/>
              <w:left w:val="single" w:sz="4" w:space="0" w:color="000000"/>
              <w:bottom w:val="nil"/>
              <w:right w:val="single" w:sz="4" w:space="0" w:color="000000"/>
            </w:tcBorders>
            <w:vAlign w:val="center"/>
            <w:hideMark/>
          </w:tcPr>
          <w:p w14:paraId="1D45E104"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p>
        </w:tc>
        <w:tc>
          <w:tcPr>
            <w:tcW w:w="88" w:type="pct"/>
            <w:tcBorders>
              <w:top w:val="nil"/>
              <w:left w:val="nil"/>
              <w:bottom w:val="single" w:sz="4" w:space="0" w:color="000000"/>
              <w:right w:val="single" w:sz="4" w:space="0" w:color="000000"/>
            </w:tcBorders>
            <w:hideMark/>
          </w:tcPr>
          <w:p w14:paraId="1CD6250E" w14:textId="77777777" w:rsidR="002E09B6" w:rsidRPr="002E09B6" w:rsidRDefault="002E09B6" w:rsidP="002E09B6">
            <w:pPr>
              <w:spacing w:after="0" w:line="240" w:lineRule="auto"/>
              <w:jc w:val="center"/>
              <w:rPr>
                <w:rFonts w:ascii="Arial Narrow" w:eastAsia="Times New Roman" w:hAnsi="Arial Narrow" w:cs="Arial"/>
                <w:color w:val="000000"/>
                <w:kern w:val="0"/>
                <w:sz w:val="22"/>
                <w:szCs w:val="22"/>
                <w14:ligatures w14:val="none"/>
              </w:rPr>
            </w:pPr>
            <w:r w:rsidRPr="002E09B6">
              <w:rPr>
                <w:rFonts w:ascii="Arial Narrow" w:eastAsia="Times New Roman" w:hAnsi="Arial Narrow" w:cs="Arial"/>
                <w:color w:val="000000"/>
                <w:kern w:val="0"/>
                <w:sz w:val="22"/>
                <w:szCs w:val="22"/>
                <w14:ligatures w14:val="none"/>
              </w:rPr>
              <w:t> </w:t>
            </w:r>
          </w:p>
        </w:tc>
        <w:tc>
          <w:tcPr>
            <w:tcW w:w="1095" w:type="pct"/>
            <w:tcBorders>
              <w:top w:val="nil"/>
              <w:left w:val="nil"/>
              <w:bottom w:val="single" w:sz="4" w:space="0" w:color="000000"/>
              <w:right w:val="single" w:sz="4" w:space="0" w:color="000000"/>
            </w:tcBorders>
            <w:hideMark/>
          </w:tcPr>
          <w:p w14:paraId="5E585251" w14:textId="77777777" w:rsidR="002E09B6" w:rsidRPr="002E09B6" w:rsidRDefault="002E09B6" w:rsidP="002E09B6">
            <w:pPr>
              <w:spacing w:after="0" w:line="240" w:lineRule="auto"/>
              <w:rPr>
                <w:rFonts w:ascii="Arial Narrow" w:eastAsia="Times New Roman" w:hAnsi="Arial Narrow" w:cs="Arial"/>
                <w:color w:val="000000"/>
                <w:kern w:val="0"/>
                <w:sz w:val="22"/>
                <w:szCs w:val="22"/>
                <w14:ligatures w14:val="none"/>
              </w:rPr>
            </w:pPr>
            <w:r w:rsidRPr="002E09B6">
              <w:rPr>
                <w:rFonts w:ascii="Arial Narrow" w:eastAsia="Times New Roman" w:hAnsi="Arial Narrow" w:cs="Arial"/>
                <w:color w:val="000000"/>
                <w:kern w:val="0"/>
                <w:sz w:val="22"/>
                <w:szCs w:val="22"/>
                <w14:ligatures w14:val="none"/>
              </w:rPr>
              <w:t>1.2. Recovery Units and Mini-reclaim inventory, and Documentation</w:t>
            </w:r>
          </w:p>
        </w:tc>
        <w:tc>
          <w:tcPr>
            <w:tcW w:w="308" w:type="pct"/>
            <w:tcBorders>
              <w:top w:val="nil"/>
              <w:left w:val="nil"/>
              <w:bottom w:val="single" w:sz="4" w:space="0" w:color="000000"/>
              <w:right w:val="single" w:sz="4" w:space="0" w:color="000000"/>
            </w:tcBorders>
            <w:vAlign w:val="center"/>
            <w:hideMark/>
          </w:tcPr>
          <w:p w14:paraId="7D5ACB28" w14:textId="77777777" w:rsidR="002E09B6" w:rsidRPr="002E09B6" w:rsidRDefault="002E09B6" w:rsidP="002E09B6">
            <w:pPr>
              <w:spacing w:after="0" w:line="240" w:lineRule="auto"/>
              <w:jc w:val="center"/>
              <w:rPr>
                <w:rFonts w:ascii="Arial Narrow" w:eastAsia="Times New Roman" w:hAnsi="Arial Narrow" w:cs="Arial"/>
                <w:color w:val="000000"/>
                <w:kern w:val="0"/>
                <w:sz w:val="22"/>
                <w:szCs w:val="22"/>
                <w14:ligatures w14:val="none"/>
              </w:rPr>
            </w:pPr>
            <w:r w:rsidRPr="002E09B6">
              <w:rPr>
                <w:rFonts w:ascii="Arial Narrow" w:eastAsia="Times New Roman" w:hAnsi="Arial Narrow" w:cs="Arial"/>
                <w:color w:val="000000"/>
                <w:kern w:val="0"/>
                <w:sz w:val="22"/>
                <w:szCs w:val="22"/>
                <w14:ligatures w14:val="none"/>
              </w:rPr>
              <w:t>75700</w:t>
            </w:r>
          </w:p>
        </w:tc>
        <w:tc>
          <w:tcPr>
            <w:tcW w:w="140" w:type="pct"/>
            <w:tcBorders>
              <w:top w:val="nil"/>
              <w:left w:val="nil"/>
              <w:bottom w:val="single" w:sz="4" w:space="0" w:color="000000"/>
              <w:right w:val="single" w:sz="4" w:space="0" w:color="000000"/>
            </w:tcBorders>
            <w:hideMark/>
          </w:tcPr>
          <w:p w14:paraId="1F30C6A7" w14:textId="77777777" w:rsidR="002E09B6" w:rsidRPr="002E09B6" w:rsidRDefault="002E09B6" w:rsidP="002E09B6">
            <w:pPr>
              <w:spacing w:after="0" w:line="240" w:lineRule="auto"/>
              <w:jc w:val="center"/>
              <w:rPr>
                <w:rFonts w:ascii="Arial" w:eastAsia="Times New Roman" w:hAnsi="Arial" w:cs="Arial"/>
                <w:color w:val="9900CC"/>
                <w:kern w:val="0"/>
                <w:sz w:val="20"/>
                <w:szCs w:val="20"/>
                <w14:ligatures w14:val="none"/>
              </w:rPr>
            </w:pPr>
            <w:r w:rsidRPr="002E09B6">
              <w:rPr>
                <w:rFonts w:ascii="Arial" w:eastAsia="Times New Roman" w:hAnsi="Arial" w:cs="Arial"/>
                <w:color w:val="9900CC"/>
                <w:kern w:val="0"/>
                <w:sz w:val="20"/>
                <w:szCs w:val="20"/>
                <w14:ligatures w14:val="none"/>
              </w:rPr>
              <w:t> </w:t>
            </w:r>
          </w:p>
        </w:tc>
        <w:tc>
          <w:tcPr>
            <w:tcW w:w="130" w:type="pct"/>
            <w:tcBorders>
              <w:top w:val="nil"/>
              <w:left w:val="nil"/>
              <w:bottom w:val="single" w:sz="4" w:space="0" w:color="000000"/>
              <w:right w:val="single" w:sz="4" w:space="0" w:color="000000"/>
            </w:tcBorders>
            <w:hideMark/>
          </w:tcPr>
          <w:p w14:paraId="2D41B7BB"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35" w:type="pct"/>
            <w:tcBorders>
              <w:top w:val="nil"/>
              <w:left w:val="nil"/>
              <w:bottom w:val="single" w:sz="4" w:space="0" w:color="000000"/>
              <w:right w:val="single" w:sz="4" w:space="0" w:color="000000"/>
            </w:tcBorders>
            <w:hideMark/>
          </w:tcPr>
          <w:p w14:paraId="4D324A37"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X</w:t>
            </w:r>
          </w:p>
        </w:tc>
        <w:tc>
          <w:tcPr>
            <w:tcW w:w="156" w:type="pct"/>
            <w:tcBorders>
              <w:top w:val="nil"/>
              <w:left w:val="nil"/>
              <w:bottom w:val="single" w:sz="4" w:space="0" w:color="000000"/>
              <w:right w:val="single" w:sz="4" w:space="0" w:color="000000"/>
            </w:tcBorders>
            <w:hideMark/>
          </w:tcPr>
          <w:p w14:paraId="1D55EC2F"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X</w:t>
            </w:r>
          </w:p>
        </w:tc>
        <w:tc>
          <w:tcPr>
            <w:tcW w:w="445" w:type="pct"/>
            <w:tcBorders>
              <w:top w:val="nil"/>
              <w:left w:val="nil"/>
              <w:bottom w:val="single" w:sz="4" w:space="0" w:color="000000"/>
              <w:right w:val="single" w:sz="4" w:space="0" w:color="000000"/>
            </w:tcBorders>
            <w:vAlign w:val="center"/>
            <w:hideMark/>
          </w:tcPr>
          <w:p w14:paraId="04529681"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NOU</w:t>
            </w:r>
          </w:p>
        </w:tc>
        <w:tc>
          <w:tcPr>
            <w:tcW w:w="302" w:type="pct"/>
            <w:tcBorders>
              <w:top w:val="nil"/>
              <w:left w:val="nil"/>
              <w:bottom w:val="single" w:sz="4" w:space="0" w:color="000000"/>
              <w:right w:val="single" w:sz="4" w:space="0" w:color="000000"/>
            </w:tcBorders>
            <w:vAlign w:val="center"/>
            <w:hideMark/>
          </w:tcPr>
          <w:p w14:paraId="6F6474A7"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MLF</w:t>
            </w:r>
          </w:p>
        </w:tc>
        <w:tc>
          <w:tcPr>
            <w:tcW w:w="499" w:type="pct"/>
            <w:tcBorders>
              <w:top w:val="nil"/>
              <w:left w:val="nil"/>
              <w:bottom w:val="single" w:sz="4" w:space="0" w:color="000000"/>
              <w:right w:val="single" w:sz="4" w:space="0" w:color="000000"/>
            </w:tcBorders>
            <w:vAlign w:val="center"/>
            <w:hideMark/>
          </w:tcPr>
          <w:p w14:paraId="7BDC27CB"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Training/workshop</w:t>
            </w:r>
          </w:p>
        </w:tc>
        <w:tc>
          <w:tcPr>
            <w:tcW w:w="367" w:type="pct"/>
            <w:tcBorders>
              <w:top w:val="nil"/>
              <w:left w:val="nil"/>
              <w:bottom w:val="single" w:sz="4" w:space="0" w:color="000000"/>
              <w:right w:val="single" w:sz="4" w:space="0" w:color="000000"/>
            </w:tcBorders>
            <w:vAlign w:val="center"/>
            <w:hideMark/>
          </w:tcPr>
          <w:p w14:paraId="47EFA423"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xml:space="preserve">       2,000.00 </w:t>
            </w:r>
          </w:p>
        </w:tc>
        <w:tc>
          <w:tcPr>
            <w:tcW w:w="367" w:type="pct"/>
            <w:tcBorders>
              <w:top w:val="nil"/>
              <w:left w:val="nil"/>
              <w:bottom w:val="single" w:sz="4" w:space="0" w:color="000000"/>
              <w:right w:val="single" w:sz="4" w:space="0" w:color="000000"/>
            </w:tcBorders>
            <w:vAlign w:val="center"/>
            <w:hideMark/>
          </w:tcPr>
          <w:p w14:paraId="4F78A343"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xml:space="preserve">       2,000.00 </w:t>
            </w:r>
          </w:p>
        </w:tc>
      </w:tr>
      <w:tr w:rsidR="002E09B6" w:rsidRPr="002E09B6" w14:paraId="249FB477" w14:textId="77777777" w:rsidTr="002E09B6">
        <w:trPr>
          <w:trHeight w:val="660"/>
        </w:trPr>
        <w:tc>
          <w:tcPr>
            <w:tcW w:w="966" w:type="pct"/>
            <w:vMerge/>
            <w:tcBorders>
              <w:top w:val="nil"/>
              <w:left w:val="single" w:sz="4" w:space="0" w:color="000000"/>
              <w:bottom w:val="nil"/>
              <w:right w:val="single" w:sz="4" w:space="0" w:color="000000"/>
            </w:tcBorders>
            <w:vAlign w:val="center"/>
            <w:hideMark/>
          </w:tcPr>
          <w:p w14:paraId="6CCF93EC"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p>
        </w:tc>
        <w:tc>
          <w:tcPr>
            <w:tcW w:w="88" w:type="pct"/>
            <w:tcBorders>
              <w:top w:val="nil"/>
              <w:left w:val="nil"/>
              <w:bottom w:val="single" w:sz="4" w:space="0" w:color="000000"/>
              <w:right w:val="single" w:sz="4" w:space="0" w:color="000000"/>
            </w:tcBorders>
            <w:hideMark/>
          </w:tcPr>
          <w:p w14:paraId="726AB13A" w14:textId="77777777" w:rsidR="002E09B6" w:rsidRPr="002E09B6" w:rsidRDefault="002E09B6" w:rsidP="002E09B6">
            <w:pPr>
              <w:spacing w:after="0" w:line="240" w:lineRule="auto"/>
              <w:jc w:val="center"/>
              <w:rPr>
                <w:rFonts w:ascii="Arial Narrow" w:eastAsia="Times New Roman" w:hAnsi="Arial Narrow" w:cs="Arial"/>
                <w:color w:val="000000"/>
                <w:kern w:val="0"/>
                <w:sz w:val="22"/>
                <w:szCs w:val="22"/>
                <w14:ligatures w14:val="none"/>
              </w:rPr>
            </w:pPr>
            <w:r w:rsidRPr="002E09B6">
              <w:rPr>
                <w:rFonts w:ascii="Arial Narrow" w:eastAsia="Times New Roman" w:hAnsi="Arial Narrow" w:cs="Arial"/>
                <w:color w:val="000000"/>
                <w:kern w:val="0"/>
                <w:sz w:val="22"/>
                <w:szCs w:val="22"/>
                <w14:ligatures w14:val="none"/>
              </w:rPr>
              <w:t>2</w:t>
            </w:r>
          </w:p>
        </w:tc>
        <w:tc>
          <w:tcPr>
            <w:tcW w:w="1095" w:type="pct"/>
            <w:tcBorders>
              <w:top w:val="nil"/>
              <w:left w:val="nil"/>
              <w:bottom w:val="single" w:sz="4" w:space="0" w:color="000000"/>
              <w:right w:val="single" w:sz="4" w:space="0" w:color="000000"/>
            </w:tcBorders>
            <w:hideMark/>
          </w:tcPr>
          <w:p w14:paraId="021DFEE0" w14:textId="77777777" w:rsidR="002E09B6" w:rsidRPr="002E09B6" w:rsidRDefault="002E09B6" w:rsidP="002E09B6">
            <w:pPr>
              <w:spacing w:after="0" w:line="240" w:lineRule="auto"/>
              <w:rPr>
                <w:rFonts w:ascii="Arial Narrow" w:eastAsia="Times New Roman" w:hAnsi="Arial Narrow" w:cs="Arial"/>
                <w:b/>
                <w:bCs/>
                <w:color w:val="000000"/>
                <w:kern w:val="0"/>
                <w:sz w:val="22"/>
                <w:szCs w:val="22"/>
                <w14:ligatures w14:val="none"/>
              </w:rPr>
            </w:pPr>
            <w:r w:rsidRPr="002E09B6">
              <w:rPr>
                <w:rFonts w:ascii="Arial Narrow" w:eastAsia="Times New Roman" w:hAnsi="Arial Narrow" w:cs="Arial"/>
                <w:b/>
                <w:bCs/>
                <w:color w:val="000000"/>
                <w:kern w:val="0"/>
                <w:sz w:val="22"/>
                <w:szCs w:val="22"/>
                <w14:ligatures w14:val="none"/>
              </w:rPr>
              <w:t xml:space="preserve">End user/Retrofitting Incentive Programme </w:t>
            </w:r>
          </w:p>
        </w:tc>
        <w:tc>
          <w:tcPr>
            <w:tcW w:w="308" w:type="pct"/>
            <w:tcBorders>
              <w:top w:val="nil"/>
              <w:left w:val="nil"/>
              <w:bottom w:val="single" w:sz="4" w:space="0" w:color="000000"/>
              <w:right w:val="single" w:sz="4" w:space="0" w:color="000000"/>
            </w:tcBorders>
            <w:vAlign w:val="center"/>
            <w:hideMark/>
          </w:tcPr>
          <w:p w14:paraId="53C79424" w14:textId="77777777" w:rsidR="002E09B6" w:rsidRPr="002E09B6" w:rsidRDefault="002E09B6" w:rsidP="002E09B6">
            <w:pPr>
              <w:spacing w:after="0" w:line="240" w:lineRule="auto"/>
              <w:jc w:val="center"/>
              <w:rPr>
                <w:rFonts w:ascii="Arial Narrow" w:eastAsia="Times New Roman" w:hAnsi="Arial Narrow" w:cs="Arial"/>
                <w:b/>
                <w:bCs/>
                <w:color w:val="000000"/>
                <w:kern w:val="0"/>
                <w:sz w:val="22"/>
                <w:szCs w:val="22"/>
                <w14:ligatures w14:val="none"/>
              </w:rPr>
            </w:pPr>
            <w:r w:rsidRPr="002E09B6">
              <w:rPr>
                <w:rFonts w:ascii="Arial Narrow" w:eastAsia="Times New Roman" w:hAnsi="Arial Narrow" w:cs="Arial"/>
                <w:b/>
                <w:bCs/>
                <w:color w:val="000000"/>
                <w:kern w:val="0"/>
                <w:sz w:val="22"/>
                <w:szCs w:val="22"/>
                <w14:ligatures w14:val="none"/>
              </w:rPr>
              <w:t> </w:t>
            </w:r>
          </w:p>
        </w:tc>
        <w:tc>
          <w:tcPr>
            <w:tcW w:w="140" w:type="pct"/>
            <w:tcBorders>
              <w:top w:val="nil"/>
              <w:left w:val="nil"/>
              <w:bottom w:val="single" w:sz="4" w:space="0" w:color="000000"/>
              <w:right w:val="single" w:sz="4" w:space="0" w:color="000000"/>
            </w:tcBorders>
            <w:hideMark/>
          </w:tcPr>
          <w:p w14:paraId="2A8B0ED6" w14:textId="77777777" w:rsidR="002E09B6" w:rsidRPr="002E09B6" w:rsidRDefault="002E09B6" w:rsidP="002E09B6">
            <w:pPr>
              <w:spacing w:after="0" w:line="240" w:lineRule="auto"/>
              <w:jc w:val="center"/>
              <w:rPr>
                <w:rFonts w:ascii="Arial" w:eastAsia="Times New Roman" w:hAnsi="Arial" w:cs="Arial"/>
                <w:color w:val="9900CC"/>
                <w:kern w:val="0"/>
                <w:sz w:val="20"/>
                <w:szCs w:val="20"/>
                <w14:ligatures w14:val="none"/>
              </w:rPr>
            </w:pPr>
            <w:r w:rsidRPr="002E09B6">
              <w:rPr>
                <w:rFonts w:ascii="Arial" w:eastAsia="Times New Roman" w:hAnsi="Arial" w:cs="Arial"/>
                <w:color w:val="9900CC"/>
                <w:kern w:val="0"/>
                <w:sz w:val="20"/>
                <w:szCs w:val="20"/>
                <w14:ligatures w14:val="none"/>
              </w:rPr>
              <w:t> </w:t>
            </w:r>
          </w:p>
        </w:tc>
        <w:tc>
          <w:tcPr>
            <w:tcW w:w="130" w:type="pct"/>
            <w:tcBorders>
              <w:top w:val="nil"/>
              <w:left w:val="nil"/>
              <w:bottom w:val="single" w:sz="4" w:space="0" w:color="000000"/>
              <w:right w:val="single" w:sz="4" w:space="0" w:color="000000"/>
            </w:tcBorders>
            <w:hideMark/>
          </w:tcPr>
          <w:p w14:paraId="33C4E57C" w14:textId="77777777" w:rsidR="002E09B6" w:rsidRPr="002E09B6" w:rsidRDefault="002E09B6" w:rsidP="002E09B6">
            <w:pPr>
              <w:spacing w:after="0" w:line="240" w:lineRule="auto"/>
              <w:jc w:val="center"/>
              <w:rPr>
                <w:rFonts w:ascii="Arial" w:eastAsia="Times New Roman" w:hAnsi="Arial" w:cs="Arial"/>
                <w:color w:val="9900CC"/>
                <w:kern w:val="0"/>
                <w:sz w:val="20"/>
                <w:szCs w:val="20"/>
                <w14:ligatures w14:val="none"/>
              </w:rPr>
            </w:pPr>
            <w:r w:rsidRPr="002E09B6">
              <w:rPr>
                <w:rFonts w:ascii="Arial" w:eastAsia="Times New Roman" w:hAnsi="Arial" w:cs="Arial"/>
                <w:color w:val="9900CC"/>
                <w:kern w:val="0"/>
                <w:sz w:val="20"/>
                <w:szCs w:val="20"/>
                <w14:ligatures w14:val="none"/>
              </w:rPr>
              <w:t> </w:t>
            </w:r>
          </w:p>
        </w:tc>
        <w:tc>
          <w:tcPr>
            <w:tcW w:w="135" w:type="pct"/>
            <w:tcBorders>
              <w:top w:val="nil"/>
              <w:left w:val="nil"/>
              <w:bottom w:val="single" w:sz="4" w:space="0" w:color="000000"/>
              <w:right w:val="single" w:sz="4" w:space="0" w:color="000000"/>
            </w:tcBorders>
            <w:hideMark/>
          </w:tcPr>
          <w:p w14:paraId="23A4934D"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56" w:type="pct"/>
            <w:tcBorders>
              <w:top w:val="nil"/>
              <w:left w:val="nil"/>
              <w:bottom w:val="single" w:sz="4" w:space="0" w:color="000000"/>
              <w:right w:val="single" w:sz="4" w:space="0" w:color="000000"/>
            </w:tcBorders>
            <w:hideMark/>
          </w:tcPr>
          <w:p w14:paraId="7BB3AEDC"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445" w:type="pct"/>
            <w:tcBorders>
              <w:top w:val="nil"/>
              <w:left w:val="nil"/>
              <w:bottom w:val="single" w:sz="4" w:space="0" w:color="000000"/>
              <w:right w:val="single" w:sz="4" w:space="0" w:color="000000"/>
            </w:tcBorders>
            <w:vAlign w:val="center"/>
            <w:hideMark/>
          </w:tcPr>
          <w:p w14:paraId="37482F79"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02" w:type="pct"/>
            <w:tcBorders>
              <w:top w:val="nil"/>
              <w:left w:val="nil"/>
              <w:bottom w:val="single" w:sz="4" w:space="0" w:color="000000"/>
              <w:right w:val="single" w:sz="4" w:space="0" w:color="000000"/>
            </w:tcBorders>
            <w:vAlign w:val="center"/>
            <w:hideMark/>
          </w:tcPr>
          <w:p w14:paraId="6752110B"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499" w:type="pct"/>
            <w:tcBorders>
              <w:top w:val="nil"/>
              <w:left w:val="nil"/>
              <w:bottom w:val="single" w:sz="4" w:space="0" w:color="000000"/>
              <w:right w:val="single" w:sz="4" w:space="0" w:color="000000"/>
            </w:tcBorders>
            <w:vAlign w:val="center"/>
            <w:hideMark/>
          </w:tcPr>
          <w:p w14:paraId="5264B5E7"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67" w:type="pct"/>
            <w:tcBorders>
              <w:top w:val="nil"/>
              <w:left w:val="nil"/>
              <w:bottom w:val="single" w:sz="4" w:space="0" w:color="000000"/>
              <w:right w:val="single" w:sz="4" w:space="0" w:color="000000"/>
            </w:tcBorders>
            <w:vAlign w:val="center"/>
            <w:hideMark/>
          </w:tcPr>
          <w:p w14:paraId="7CA32FC3"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67" w:type="pct"/>
            <w:tcBorders>
              <w:top w:val="nil"/>
              <w:left w:val="nil"/>
              <w:bottom w:val="single" w:sz="4" w:space="0" w:color="000000"/>
              <w:right w:val="single" w:sz="4" w:space="0" w:color="000000"/>
            </w:tcBorders>
            <w:vAlign w:val="center"/>
            <w:hideMark/>
          </w:tcPr>
          <w:p w14:paraId="1B6C4BAC"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r>
      <w:tr w:rsidR="002E09B6" w:rsidRPr="002E09B6" w14:paraId="30EF5A5A" w14:textId="77777777" w:rsidTr="002E09B6">
        <w:trPr>
          <w:trHeight w:val="330"/>
        </w:trPr>
        <w:tc>
          <w:tcPr>
            <w:tcW w:w="966" w:type="pct"/>
            <w:vMerge/>
            <w:tcBorders>
              <w:top w:val="nil"/>
              <w:left w:val="single" w:sz="4" w:space="0" w:color="000000"/>
              <w:bottom w:val="nil"/>
              <w:right w:val="single" w:sz="4" w:space="0" w:color="000000"/>
            </w:tcBorders>
            <w:vAlign w:val="center"/>
            <w:hideMark/>
          </w:tcPr>
          <w:p w14:paraId="1DDB0ECD"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p>
        </w:tc>
        <w:tc>
          <w:tcPr>
            <w:tcW w:w="88" w:type="pct"/>
            <w:tcBorders>
              <w:top w:val="nil"/>
              <w:left w:val="nil"/>
              <w:bottom w:val="single" w:sz="4" w:space="0" w:color="000000"/>
              <w:right w:val="single" w:sz="4" w:space="0" w:color="000000"/>
            </w:tcBorders>
            <w:hideMark/>
          </w:tcPr>
          <w:p w14:paraId="77D39294" w14:textId="77777777" w:rsidR="002E09B6" w:rsidRPr="002E09B6" w:rsidRDefault="002E09B6" w:rsidP="002E09B6">
            <w:pPr>
              <w:spacing w:after="0" w:line="240" w:lineRule="auto"/>
              <w:jc w:val="center"/>
              <w:rPr>
                <w:rFonts w:ascii="Arial Narrow" w:eastAsia="Times New Roman" w:hAnsi="Arial Narrow" w:cs="Arial"/>
                <w:color w:val="000000"/>
                <w:kern w:val="0"/>
                <w:sz w:val="22"/>
                <w:szCs w:val="22"/>
                <w14:ligatures w14:val="none"/>
              </w:rPr>
            </w:pPr>
            <w:r w:rsidRPr="002E09B6">
              <w:rPr>
                <w:rFonts w:ascii="Arial Narrow" w:eastAsia="Times New Roman" w:hAnsi="Arial Narrow" w:cs="Arial"/>
                <w:color w:val="000000"/>
                <w:kern w:val="0"/>
                <w:sz w:val="22"/>
                <w:szCs w:val="22"/>
                <w14:ligatures w14:val="none"/>
              </w:rPr>
              <w:t> </w:t>
            </w:r>
          </w:p>
        </w:tc>
        <w:tc>
          <w:tcPr>
            <w:tcW w:w="1095" w:type="pct"/>
            <w:tcBorders>
              <w:top w:val="nil"/>
              <w:left w:val="nil"/>
              <w:bottom w:val="single" w:sz="4" w:space="0" w:color="000000"/>
              <w:right w:val="single" w:sz="4" w:space="0" w:color="000000"/>
            </w:tcBorders>
            <w:hideMark/>
          </w:tcPr>
          <w:p w14:paraId="0AAB3C3E" w14:textId="77777777" w:rsidR="002E09B6" w:rsidRPr="002E09B6" w:rsidRDefault="002E09B6" w:rsidP="002E09B6">
            <w:pPr>
              <w:spacing w:after="0" w:line="240" w:lineRule="auto"/>
              <w:rPr>
                <w:rFonts w:ascii="Arial Narrow" w:eastAsia="Times New Roman" w:hAnsi="Arial Narrow" w:cs="Arial"/>
                <w:color w:val="000000"/>
                <w:kern w:val="0"/>
                <w:sz w:val="22"/>
                <w:szCs w:val="22"/>
                <w14:ligatures w14:val="none"/>
              </w:rPr>
            </w:pPr>
            <w:r w:rsidRPr="002E09B6">
              <w:rPr>
                <w:rFonts w:ascii="Arial Narrow" w:eastAsia="Times New Roman" w:hAnsi="Arial Narrow" w:cs="Arial"/>
                <w:color w:val="000000"/>
                <w:kern w:val="0"/>
                <w:sz w:val="22"/>
                <w:szCs w:val="22"/>
                <w14:ligatures w14:val="none"/>
              </w:rPr>
              <w:t>2.1. ODS Identifier (2 nos)</w:t>
            </w:r>
          </w:p>
        </w:tc>
        <w:tc>
          <w:tcPr>
            <w:tcW w:w="308" w:type="pct"/>
            <w:tcBorders>
              <w:top w:val="nil"/>
              <w:left w:val="nil"/>
              <w:bottom w:val="single" w:sz="4" w:space="0" w:color="000000"/>
              <w:right w:val="single" w:sz="4" w:space="0" w:color="000000"/>
            </w:tcBorders>
            <w:vAlign w:val="center"/>
            <w:hideMark/>
          </w:tcPr>
          <w:p w14:paraId="6632CF64" w14:textId="77777777" w:rsidR="002E09B6" w:rsidRPr="002E09B6" w:rsidRDefault="002E09B6" w:rsidP="002E09B6">
            <w:pPr>
              <w:spacing w:after="0" w:line="240" w:lineRule="auto"/>
              <w:jc w:val="center"/>
              <w:rPr>
                <w:rFonts w:ascii="Arial Narrow" w:eastAsia="Times New Roman" w:hAnsi="Arial Narrow" w:cs="Arial"/>
                <w:color w:val="000000"/>
                <w:kern w:val="0"/>
                <w:sz w:val="22"/>
                <w:szCs w:val="22"/>
                <w14:ligatures w14:val="none"/>
              </w:rPr>
            </w:pPr>
            <w:r w:rsidRPr="002E09B6">
              <w:rPr>
                <w:rFonts w:ascii="Arial Narrow" w:eastAsia="Times New Roman" w:hAnsi="Arial Narrow" w:cs="Arial"/>
                <w:color w:val="000000"/>
                <w:kern w:val="0"/>
                <w:sz w:val="22"/>
                <w:szCs w:val="22"/>
                <w14:ligatures w14:val="none"/>
              </w:rPr>
              <w:t>72200</w:t>
            </w:r>
          </w:p>
        </w:tc>
        <w:tc>
          <w:tcPr>
            <w:tcW w:w="140" w:type="pct"/>
            <w:tcBorders>
              <w:top w:val="nil"/>
              <w:left w:val="nil"/>
              <w:bottom w:val="single" w:sz="4" w:space="0" w:color="000000"/>
              <w:right w:val="single" w:sz="4" w:space="0" w:color="000000"/>
            </w:tcBorders>
            <w:hideMark/>
          </w:tcPr>
          <w:p w14:paraId="464B2A5C" w14:textId="77777777" w:rsidR="002E09B6" w:rsidRPr="002E09B6" w:rsidRDefault="002E09B6" w:rsidP="002E09B6">
            <w:pPr>
              <w:spacing w:after="0" w:line="240" w:lineRule="auto"/>
              <w:jc w:val="center"/>
              <w:rPr>
                <w:rFonts w:ascii="Arial" w:eastAsia="Times New Roman" w:hAnsi="Arial" w:cs="Arial"/>
                <w:color w:val="9900CC"/>
                <w:kern w:val="0"/>
                <w:sz w:val="20"/>
                <w:szCs w:val="20"/>
                <w14:ligatures w14:val="none"/>
              </w:rPr>
            </w:pPr>
            <w:r w:rsidRPr="002E09B6">
              <w:rPr>
                <w:rFonts w:ascii="Arial" w:eastAsia="Times New Roman" w:hAnsi="Arial" w:cs="Arial"/>
                <w:color w:val="9900CC"/>
                <w:kern w:val="0"/>
                <w:sz w:val="20"/>
                <w:szCs w:val="20"/>
                <w14:ligatures w14:val="none"/>
              </w:rPr>
              <w:t> </w:t>
            </w:r>
          </w:p>
        </w:tc>
        <w:tc>
          <w:tcPr>
            <w:tcW w:w="130" w:type="pct"/>
            <w:tcBorders>
              <w:top w:val="nil"/>
              <w:left w:val="nil"/>
              <w:bottom w:val="single" w:sz="4" w:space="0" w:color="000000"/>
              <w:right w:val="single" w:sz="4" w:space="0" w:color="000000"/>
            </w:tcBorders>
            <w:hideMark/>
          </w:tcPr>
          <w:p w14:paraId="4CA4EF00" w14:textId="77777777" w:rsidR="002E09B6" w:rsidRPr="002E09B6" w:rsidRDefault="002E09B6" w:rsidP="002E09B6">
            <w:pPr>
              <w:spacing w:after="0" w:line="240" w:lineRule="auto"/>
              <w:jc w:val="center"/>
              <w:rPr>
                <w:rFonts w:ascii="Arial" w:eastAsia="Times New Roman" w:hAnsi="Arial" w:cs="Arial"/>
                <w:color w:val="9900CC"/>
                <w:kern w:val="0"/>
                <w:sz w:val="20"/>
                <w:szCs w:val="20"/>
                <w14:ligatures w14:val="none"/>
              </w:rPr>
            </w:pPr>
            <w:r w:rsidRPr="002E09B6">
              <w:rPr>
                <w:rFonts w:ascii="Arial" w:eastAsia="Times New Roman" w:hAnsi="Arial" w:cs="Arial"/>
                <w:color w:val="9900CC"/>
                <w:kern w:val="0"/>
                <w:sz w:val="20"/>
                <w:szCs w:val="20"/>
                <w14:ligatures w14:val="none"/>
              </w:rPr>
              <w:t> </w:t>
            </w:r>
          </w:p>
        </w:tc>
        <w:tc>
          <w:tcPr>
            <w:tcW w:w="135" w:type="pct"/>
            <w:tcBorders>
              <w:top w:val="nil"/>
              <w:left w:val="nil"/>
              <w:bottom w:val="single" w:sz="4" w:space="0" w:color="000000"/>
              <w:right w:val="single" w:sz="4" w:space="0" w:color="000000"/>
            </w:tcBorders>
            <w:hideMark/>
          </w:tcPr>
          <w:p w14:paraId="6E71BC32"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X</w:t>
            </w:r>
          </w:p>
        </w:tc>
        <w:tc>
          <w:tcPr>
            <w:tcW w:w="156" w:type="pct"/>
            <w:tcBorders>
              <w:top w:val="nil"/>
              <w:left w:val="nil"/>
              <w:bottom w:val="single" w:sz="4" w:space="0" w:color="000000"/>
              <w:right w:val="single" w:sz="4" w:space="0" w:color="000000"/>
            </w:tcBorders>
            <w:hideMark/>
          </w:tcPr>
          <w:p w14:paraId="1C4DCB45"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X</w:t>
            </w:r>
          </w:p>
        </w:tc>
        <w:tc>
          <w:tcPr>
            <w:tcW w:w="445" w:type="pct"/>
            <w:tcBorders>
              <w:top w:val="nil"/>
              <w:left w:val="nil"/>
              <w:bottom w:val="single" w:sz="4" w:space="0" w:color="000000"/>
              <w:right w:val="single" w:sz="4" w:space="0" w:color="000000"/>
            </w:tcBorders>
            <w:vAlign w:val="center"/>
            <w:hideMark/>
          </w:tcPr>
          <w:p w14:paraId="6F7BC857"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NOU</w:t>
            </w:r>
          </w:p>
        </w:tc>
        <w:tc>
          <w:tcPr>
            <w:tcW w:w="302" w:type="pct"/>
            <w:tcBorders>
              <w:top w:val="nil"/>
              <w:left w:val="nil"/>
              <w:bottom w:val="single" w:sz="4" w:space="0" w:color="000000"/>
              <w:right w:val="single" w:sz="4" w:space="0" w:color="000000"/>
            </w:tcBorders>
            <w:vAlign w:val="center"/>
            <w:hideMark/>
          </w:tcPr>
          <w:p w14:paraId="7AC1AD3C"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MLF</w:t>
            </w:r>
          </w:p>
        </w:tc>
        <w:tc>
          <w:tcPr>
            <w:tcW w:w="499" w:type="pct"/>
            <w:tcBorders>
              <w:top w:val="nil"/>
              <w:left w:val="nil"/>
              <w:bottom w:val="single" w:sz="4" w:space="0" w:color="000000"/>
              <w:right w:val="single" w:sz="4" w:space="0" w:color="000000"/>
            </w:tcBorders>
            <w:shd w:val="clear" w:color="FFFFFF" w:fill="FFFFFF"/>
            <w:vAlign w:val="center"/>
            <w:hideMark/>
          </w:tcPr>
          <w:p w14:paraId="731FCBE8"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Equipment</w:t>
            </w:r>
          </w:p>
        </w:tc>
        <w:tc>
          <w:tcPr>
            <w:tcW w:w="367" w:type="pct"/>
            <w:tcBorders>
              <w:top w:val="nil"/>
              <w:left w:val="nil"/>
              <w:bottom w:val="single" w:sz="4" w:space="0" w:color="000000"/>
              <w:right w:val="single" w:sz="4" w:space="0" w:color="000000"/>
            </w:tcBorders>
            <w:vAlign w:val="center"/>
            <w:hideMark/>
          </w:tcPr>
          <w:p w14:paraId="25DE7FE4"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xml:space="preserve">       9,000.00 </w:t>
            </w:r>
          </w:p>
        </w:tc>
        <w:tc>
          <w:tcPr>
            <w:tcW w:w="367" w:type="pct"/>
            <w:tcBorders>
              <w:top w:val="nil"/>
              <w:left w:val="nil"/>
              <w:bottom w:val="single" w:sz="4" w:space="0" w:color="000000"/>
              <w:right w:val="single" w:sz="4" w:space="0" w:color="000000"/>
            </w:tcBorders>
            <w:vAlign w:val="center"/>
            <w:hideMark/>
          </w:tcPr>
          <w:p w14:paraId="63DD0400"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xml:space="preserve">       9,000.00 </w:t>
            </w:r>
          </w:p>
        </w:tc>
      </w:tr>
      <w:tr w:rsidR="002E09B6" w:rsidRPr="002E09B6" w14:paraId="3B920859" w14:textId="77777777" w:rsidTr="002E09B6">
        <w:trPr>
          <w:trHeight w:val="660"/>
        </w:trPr>
        <w:tc>
          <w:tcPr>
            <w:tcW w:w="966" w:type="pct"/>
            <w:vMerge/>
            <w:tcBorders>
              <w:top w:val="nil"/>
              <w:left w:val="single" w:sz="4" w:space="0" w:color="000000"/>
              <w:bottom w:val="nil"/>
              <w:right w:val="single" w:sz="4" w:space="0" w:color="000000"/>
            </w:tcBorders>
            <w:vAlign w:val="center"/>
            <w:hideMark/>
          </w:tcPr>
          <w:p w14:paraId="696A0D2D"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p>
        </w:tc>
        <w:tc>
          <w:tcPr>
            <w:tcW w:w="88" w:type="pct"/>
            <w:tcBorders>
              <w:top w:val="nil"/>
              <w:left w:val="nil"/>
              <w:bottom w:val="single" w:sz="4" w:space="0" w:color="000000"/>
              <w:right w:val="single" w:sz="4" w:space="0" w:color="000000"/>
            </w:tcBorders>
            <w:hideMark/>
          </w:tcPr>
          <w:p w14:paraId="2488796D"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095" w:type="pct"/>
            <w:tcBorders>
              <w:top w:val="nil"/>
              <w:left w:val="nil"/>
              <w:bottom w:val="nil"/>
              <w:right w:val="nil"/>
            </w:tcBorders>
            <w:hideMark/>
          </w:tcPr>
          <w:p w14:paraId="22A70AAA" w14:textId="77777777" w:rsidR="002E09B6" w:rsidRPr="002E09B6" w:rsidRDefault="002E09B6" w:rsidP="002E09B6">
            <w:pPr>
              <w:spacing w:after="0" w:line="240" w:lineRule="auto"/>
              <w:rPr>
                <w:rFonts w:ascii="Arial Narrow" w:eastAsia="Times New Roman" w:hAnsi="Arial Narrow" w:cs="Arial"/>
                <w:color w:val="000000"/>
                <w:kern w:val="0"/>
                <w:sz w:val="22"/>
                <w:szCs w:val="22"/>
                <w14:ligatures w14:val="none"/>
              </w:rPr>
            </w:pPr>
            <w:r w:rsidRPr="002E09B6">
              <w:rPr>
                <w:rFonts w:ascii="Arial Narrow" w:eastAsia="Times New Roman" w:hAnsi="Arial Narrow" w:cs="Arial"/>
                <w:color w:val="000000"/>
                <w:kern w:val="0"/>
                <w:sz w:val="22"/>
                <w:szCs w:val="22"/>
                <w14:ligatures w14:val="none"/>
              </w:rPr>
              <w:t xml:space="preserve">2.2. Technical expertise </w:t>
            </w:r>
            <w:proofErr w:type="gramStart"/>
            <w:r w:rsidRPr="002E09B6">
              <w:rPr>
                <w:rFonts w:ascii="Arial Narrow" w:eastAsia="Times New Roman" w:hAnsi="Arial Narrow" w:cs="Arial"/>
                <w:color w:val="000000"/>
                <w:kern w:val="0"/>
                <w:sz w:val="22"/>
                <w:szCs w:val="22"/>
                <w14:ligatures w14:val="none"/>
              </w:rPr>
              <w:t>on</w:t>
            </w:r>
            <w:proofErr w:type="gramEnd"/>
            <w:r w:rsidRPr="002E09B6">
              <w:rPr>
                <w:rFonts w:ascii="Arial Narrow" w:eastAsia="Times New Roman" w:hAnsi="Arial Narrow" w:cs="Arial"/>
                <w:color w:val="000000"/>
                <w:kern w:val="0"/>
                <w:sz w:val="22"/>
                <w:szCs w:val="22"/>
                <w14:ligatures w14:val="none"/>
              </w:rPr>
              <w:t xml:space="preserve"> ODS identifier training </w:t>
            </w:r>
          </w:p>
        </w:tc>
        <w:tc>
          <w:tcPr>
            <w:tcW w:w="308" w:type="pct"/>
            <w:tcBorders>
              <w:top w:val="nil"/>
              <w:left w:val="nil"/>
              <w:bottom w:val="nil"/>
              <w:right w:val="nil"/>
            </w:tcBorders>
            <w:vAlign w:val="center"/>
            <w:hideMark/>
          </w:tcPr>
          <w:p w14:paraId="7D50DAD8" w14:textId="77777777" w:rsidR="002E09B6" w:rsidRPr="002E09B6" w:rsidRDefault="002E09B6" w:rsidP="002E09B6">
            <w:pPr>
              <w:spacing w:after="0" w:line="240" w:lineRule="auto"/>
              <w:jc w:val="center"/>
              <w:rPr>
                <w:rFonts w:ascii="Arial Narrow" w:eastAsia="Times New Roman" w:hAnsi="Arial Narrow" w:cs="Arial"/>
                <w:color w:val="000000"/>
                <w:kern w:val="0"/>
                <w:sz w:val="22"/>
                <w:szCs w:val="22"/>
                <w14:ligatures w14:val="none"/>
              </w:rPr>
            </w:pPr>
            <w:r w:rsidRPr="002E09B6">
              <w:rPr>
                <w:rFonts w:ascii="Arial Narrow" w:eastAsia="Times New Roman" w:hAnsi="Arial Narrow" w:cs="Arial"/>
                <w:color w:val="000000"/>
                <w:kern w:val="0"/>
                <w:sz w:val="22"/>
                <w:szCs w:val="22"/>
                <w14:ligatures w14:val="none"/>
              </w:rPr>
              <w:t>75700</w:t>
            </w:r>
          </w:p>
        </w:tc>
        <w:tc>
          <w:tcPr>
            <w:tcW w:w="140" w:type="pct"/>
            <w:tcBorders>
              <w:top w:val="nil"/>
              <w:left w:val="single" w:sz="4" w:space="0" w:color="000000"/>
              <w:bottom w:val="single" w:sz="4" w:space="0" w:color="000000"/>
              <w:right w:val="single" w:sz="4" w:space="0" w:color="000000"/>
            </w:tcBorders>
            <w:hideMark/>
          </w:tcPr>
          <w:p w14:paraId="21E88E6D"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30" w:type="pct"/>
            <w:tcBorders>
              <w:top w:val="nil"/>
              <w:left w:val="nil"/>
              <w:bottom w:val="single" w:sz="4" w:space="0" w:color="000000"/>
              <w:right w:val="single" w:sz="4" w:space="0" w:color="000000"/>
            </w:tcBorders>
            <w:hideMark/>
          </w:tcPr>
          <w:p w14:paraId="71ACAC1C"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35" w:type="pct"/>
            <w:tcBorders>
              <w:top w:val="nil"/>
              <w:left w:val="nil"/>
              <w:bottom w:val="single" w:sz="4" w:space="0" w:color="000000"/>
              <w:right w:val="single" w:sz="4" w:space="0" w:color="000000"/>
            </w:tcBorders>
            <w:hideMark/>
          </w:tcPr>
          <w:p w14:paraId="08539713"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X</w:t>
            </w:r>
          </w:p>
        </w:tc>
        <w:tc>
          <w:tcPr>
            <w:tcW w:w="156" w:type="pct"/>
            <w:tcBorders>
              <w:top w:val="nil"/>
              <w:left w:val="nil"/>
              <w:bottom w:val="single" w:sz="4" w:space="0" w:color="000000"/>
              <w:right w:val="single" w:sz="4" w:space="0" w:color="000000"/>
            </w:tcBorders>
            <w:hideMark/>
          </w:tcPr>
          <w:p w14:paraId="09D772C5"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X</w:t>
            </w:r>
          </w:p>
        </w:tc>
        <w:tc>
          <w:tcPr>
            <w:tcW w:w="445" w:type="pct"/>
            <w:tcBorders>
              <w:top w:val="nil"/>
              <w:left w:val="nil"/>
              <w:bottom w:val="single" w:sz="4" w:space="0" w:color="000000"/>
              <w:right w:val="single" w:sz="4" w:space="0" w:color="000000"/>
            </w:tcBorders>
            <w:vAlign w:val="center"/>
            <w:hideMark/>
          </w:tcPr>
          <w:p w14:paraId="295AB241"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NOU</w:t>
            </w:r>
          </w:p>
        </w:tc>
        <w:tc>
          <w:tcPr>
            <w:tcW w:w="302" w:type="pct"/>
            <w:tcBorders>
              <w:top w:val="nil"/>
              <w:left w:val="nil"/>
              <w:bottom w:val="single" w:sz="4" w:space="0" w:color="000000"/>
              <w:right w:val="single" w:sz="4" w:space="0" w:color="000000"/>
            </w:tcBorders>
            <w:vAlign w:val="center"/>
            <w:hideMark/>
          </w:tcPr>
          <w:p w14:paraId="1775346B"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MLF</w:t>
            </w:r>
          </w:p>
        </w:tc>
        <w:tc>
          <w:tcPr>
            <w:tcW w:w="499" w:type="pct"/>
            <w:tcBorders>
              <w:top w:val="nil"/>
              <w:left w:val="nil"/>
              <w:bottom w:val="single" w:sz="4" w:space="0" w:color="000000"/>
              <w:right w:val="single" w:sz="4" w:space="0" w:color="000000"/>
            </w:tcBorders>
            <w:shd w:val="clear" w:color="FFFFFF" w:fill="FFFFFF"/>
            <w:vAlign w:val="center"/>
            <w:hideMark/>
          </w:tcPr>
          <w:p w14:paraId="0668A752"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Training/workshop</w:t>
            </w:r>
          </w:p>
        </w:tc>
        <w:tc>
          <w:tcPr>
            <w:tcW w:w="367" w:type="pct"/>
            <w:tcBorders>
              <w:top w:val="nil"/>
              <w:left w:val="nil"/>
              <w:bottom w:val="single" w:sz="4" w:space="0" w:color="000000"/>
              <w:right w:val="single" w:sz="4" w:space="0" w:color="000000"/>
            </w:tcBorders>
            <w:vAlign w:val="center"/>
            <w:hideMark/>
          </w:tcPr>
          <w:p w14:paraId="77E79BF9"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xml:space="preserve">       2,000.00 </w:t>
            </w:r>
          </w:p>
        </w:tc>
        <w:tc>
          <w:tcPr>
            <w:tcW w:w="367" w:type="pct"/>
            <w:tcBorders>
              <w:top w:val="nil"/>
              <w:left w:val="nil"/>
              <w:bottom w:val="single" w:sz="4" w:space="0" w:color="000000"/>
              <w:right w:val="single" w:sz="4" w:space="0" w:color="000000"/>
            </w:tcBorders>
            <w:vAlign w:val="center"/>
            <w:hideMark/>
          </w:tcPr>
          <w:p w14:paraId="0B579F97"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xml:space="preserve">       2,000.00 </w:t>
            </w:r>
          </w:p>
        </w:tc>
      </w:tr>
      <w:tr w:rsidR="002E09B6" w:rsidRPr="002E09B6" w14:paraId="645B2A79" w14:textId="77777777" w:rsidTr="002E09B6">
        <w:trPr>
          <w:trHeight w:val="255"/>
        </w:trPr>
        <w:tc>
          <w:tcPr>
            <w:tcW w:w="966" w:type="pct"/>
            <w:tcBorders>
              <w:top w:val="single" w:sz="4" w:space="0" w:color="000000"/>
              <w:left w:val="single" w:sz="4" w:space="0" w:color="000000"/>
              <w:bottom w:val="single" w:sz="4" w:space="0" w:color="000000"/>
              <w:right w:val="single" w:sz="4" w:space="0" w:color="000000"/>
            </w:tcBorders>
            <w:hideMark/>
          </w:tcPr>
          <w:p w14:paraId="6C57036A" w14:textId="77777777" w:rsidR="002E09B6" w:rsidRPr="002E09B6" w:rsidRDefault="002E09B6" w:rsidP="002E09B6">
            <w:pPr>
              <w:spacing w:after="0" w:line="240" w:lineRule="auto"/>
              <w:jc w:val="center"/>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Sub-total</w:t>
            </w:r>
          </w:p>
        </w:tc>
        <w:tc>
          <w:tcPr>
            <w:tcW w:w="88" w:type="pct"/>
            <w:tcBorders>
              <w:top w:val="nil"/>
              <w:left w:val="nil"/>
              <w:bottom w:val="single" w:sz="4" w:space="0" w:color="000000"/>
              <w:right w:val="single" w:sz="4" w:space="0" w:color="000000"/>
            </w:tcBorders>
            <w:hideMark/>
          </w:tcPr>
          <w:p w14:paraId="612AE57A"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095" w:type="pct"/>
            <w:tcBorders>
              <w:top w:val="single" w:sz="4" w:space="0" w:color="000000"/>
              <w:left w:val="nil"/>
              <w:bottom w:val="single" w:sz="4" w:space="0" w:color="000000"/>
              <w:right w:val="single" w:sz="4" w:space="0" w:color="000000"/>
            </w:tcBorders>
            <w:hideMark/>
          </w:tcPr>
          <w:p w14:paraId="45B26FC8"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08" w:type="pct"/>
            <w:tcBorders>
              <w:top w:val="single" w:sz="4" w:space="0" w:color="000000"/>
              <w:left w:val="nil"/>
              <w:bottom w:val="single" w:sz="4" w:space="0" w:color="000000"/>
              <w:right w:val="single" w:sz="4" w:space="0" w:color="000000"/>
            </w:tcBorders>
            <w:vAlign w:val="center"/>
            <w:hideMark/>
          </w:tcPr>
          <w:p w14:paraId="69772C29"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40" w:type="pct"/>
            <w:tcBorders>
              <w:top w:val="nil"/>
              <w:left w:val="nil"/>
              <w:bottom w:val="single" w:sz="4" w:space="0" w:color="000000"/>
              <w:right w:val="single" w:sz="4" w:space="0" w:color="000000"/>
            </w:tcBorders>
            <w:hideMark/>
          </w:tcPr>
          <w:p w14:paraId="1BE61F4D"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30" w:type="pct"/>
            <w:tcBorders>
              <w:top w:val="nil"/>
              <w:left w:val="nil"/>
              <w:bottom w:val="single" w:sz="4" w:space="0" w:color="000000"/>
              <w:right w:val="single" w:sz="4" w:space="0" w:color="000000"/>
            </w:tcBorders>
            <w:hideMark/>
          </w:tcPr>
          <w:p w14:paraId="664B90DB"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35" w:type="pct"/>
            <w:tcBorders>
              <w:top w:val="nil"/>
              <w:left w:val="nil"/>
              <w:bottom w:val="single" w:sz="4" w:space="0" w:color="000000"/>
              <w:right w:val="single" w:sz="4" w:space="0" w:color="000000"/>
            </w:tcBorders>
            <w:hideMark/>
          </w:tcPr>
          <w:p w14:paraId="7C011120"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56" w:type="pct"/>
            <w:tcBorders>
              <w:top w:val="nil"/>
              <w:left w:val="nil"/>
              <w:bottom w:val="single" w:sz="4" w:space="0" w:color="000000"/>
              <w:right w:val="single" w:sz="4" w:space="0" w:color="000000"/>
            </w:tcBorders>
            <w:hideMark/>
          </w:tcPr>
          <w:p w14:paraId="4FFAE439"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445" w:type="pct"/>
            <w:tcBorders>
              <w:top w:val="nil"/>
              <w:left w:val="nil"/>
              <w:bottom w:val="single" w:sz="4" w:space="0" w:color="000000"/>
              <w:right w:val="single" w:sz="4" w:space="0" w:color="000000"/>
            </w:tcBorders>
            <w:vAlign w:val="center"/>
            <w:hideMark/>
          </w:tcPr>
          <w:p w14:paraId="67123240"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02" w:type="pct"/>
            <w:tcBorders>
              <w:top w:val="nil"/>
              <w:left w:val="nil"/>
              <w:bottom w:val="single" w:sz="4" w:space="0" w:color="000000"/>
              <w:right w:val="single" w:sz="4" w:space="0" w:color="000000"/>
            </w:tcBorders>
            <w:vAlign w:val="center"/>
            <w:hideMark/>
          </w:tcPr>
          <w:p w14:paraId="401EAF65"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499" w:type="pct"/>
            <w:tcBorders>
              <w:top w:val="nil"/>
              <w:left w:val="nil"/>
              <w:bottom w:val="single" w:sz="4" w:space="0" w:color="000000"/>
              <w:right w:val="single" w:sz="4" w:space="0" w:color="000000"/>
            </w:tcBorders>
            <w:vAlign w:val="center"/>
            <w:hideMark/>
          </w:tcPr>
          <w:p w14:paraId="743B8FFA"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67" w:type="pct"/>
            <w:tcBorders>
              <w:top w:val="nil"/>
              <w:left w:val="nil"/>
              <w:bottom w:val="single" w:sz="4" w:space="0" w:color="000000"/>
              <w:right w:val="single" w:sz="4" w:space="0" w:color="000000"/>
            </w:tcBorders>
            <w:vAlign w:val="center"/>
            <w:hideMark/>
          </w:tcPr>
          <w:p w14:paraId="2C0F654E"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 xml:space="preserve">      17,000.00 </w:t>
            </w:r>
          </w:p>
        </w:tc>
        <w:tc>
          <w:tcPr>
            <w:tcW w:w="367" w:type="pct"/>
            <w:tcBorders>
              <w:top w:val="nil"/>
              <w:left w:val="nil"/>
              <w:bottom w:val="single" w:sz="4" w:space="0" w:color="000000"/>
              <w:right w:val="single" w:sz="4" w:space="0" w:color="000000"/>
            </w:tcBorders>
            <w:vAlign w:val="center"/>
            <w:hideMark/>
          </w:tcPr>
          <w:p w14:paraId="65AE21FF"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 xml:space="preserve">      17,000.00 </w:t>
            </w:r>
          </w:p>
        </w:tc>
      </w:tr>
      <w:tr w:rsidR="002E09B6" w:rsidRPr="002E09B6" w14:paraId="52D88D3A" w14:textId="77777777" w:rsidTr="002E09B6">
        <w:trPr>
          <w:trHeight w:val="255"/>
        </w:trPr>
        <w:tc>
          <w:tcPr>
            <w:tcW w:w="966" w:type="pct"/>
            <w:vMerge w:val="restart"/>
            <w:tcBorders>
              <w:top w:val="nil"/>
              <w:left w:val="single" w:sz="4" w:space="0" w:color="000000"/>
              <w:bottom w:val="single" w:sz="4" w:space="0" w:color="000000"/>
              <w:right w:val="single" w:sz="4" w:space="0" w:color="000000"/>
            </w:tcBorders>
            <w:shd w:val="clear" w:color="FFFFFF" w:fill="FFFFFF"/>
            <w:hideMark/>
          </w:tcPr>
          <w:p w14:paraId="187940F2"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 </w:t>
            </w:r>
          </w:p>
        </w:tc>
        <w:tc>
          <w:tcPr>
            <w:tcW w:w="1184" w:type="pct"/>
            <w:gridSpan w:val="2"/>
            <w:tcBorders>
              <w:top w:val="single" w:sz="4" w:space="0" w:color="000000"/>
              <w:left w:val="nil"/>
              <w:bottom w:val="single" w:sz="4" w:space="0" w:color="000000"/>
              <w:right w:val="single" w:sz="4" w:space="0" w:color="000000"/>
            </w:tcBorders>
            <w:shd w:val="clear" w:color="FFFFFF" w:fill="FFFFFF"/>
            <w:vAlign w:val="center"/>
            <w:hideMark/>
          </w:tcPr>
          <w:p w14:paraId="7EBD4759" w14:textId="77777777" w:rsidR="002E09B6" w:rsidRPr="002E09B6" w:rsidRDefault="002E09B6" w:rsidP="002E09B6">
            <w:pPr>
              <w:spacing w:after="0" w:line="240" w:lineRule="auto"/>
              <w:jc w:val="center"/>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Assurance Activities</w:t>
            </w:r>
          </w:p>
        </w:tc>
        <w:tc>
          <w:tcPr>
            <w:tcW w:w="308" w:type="pct"/>
            <w:tcBorders>
              <w:top w:val="nil"/>
              <w:left w:val="nil"/>
              <w:bottom w:val="single" w:sz="4" w:space="0" w:color="000000"/>
              <w:right w:val="single" w:sz="4" w:space="0" w:color="000000"/>
            </w:tcBorders>
            <w:shd w:val="clear" w:color="FFFFFF" w:fill="FFFFFF"/>
            <w:vAlign w:val="center"/>
            <w:hideMark/>
          </w:tcPr>
          <w:p w14:paraId="3E670D74" w14:textId="77777777" w:rsidR="002E09B6" w:rsidRPr="002E09B6" w:rsidRDefault="002E09B6" w:rsidP="002E09B6">
            <w:pPr>
              <w:spacing w:after="0" w:line="240" w:lineRule="auto"/>
              <w:jc w:val="center"/>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 </w:t>
            </w:r>
          </w:p>
        </w:tc>
        <w:tc>
          <w:tcPr>
            <w:tcW w:w="140" w:type="pct"/>
            <w:tcBorders>
              <w:top w:val="nil"/>
              <w:left w:val="nil"/>
              <w:bottom w:val="single" w:sz="4" w:space="0" w:color="000000"/>
              <w:right w:val="single" w:sz="4" w:space="0" w:color="000000"/>
            </w:tcBorders>
            <w:shd w:val="clear" w:color="FFFFFF" w:fill="FFFFFF"/>
            <w:hideMark/>
          </w:tcPr>
          <w:p w14:paraId="127BF92E"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30" w:type="pct"/>
            <w:tcBorders>
              <w:top w:val="nil"/>
              <w:left w:val="nil"/>
              <w:bottom w:val="single" w:sz="4" w:space="0" w:color="000000"/>
              <w:right w:val="single" w:sz="4" w:space="0" w:color="000000"/>
            </w:tcBorders>
            <w:shd w:val="clear" w:color="FFFFFF" w:fill="FFFFFF"/>
            <w:hideMark/>
          </w:tcPr>
          <w:p w14:paraId="39130B9D"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35" w:type="pct"/>
            <w:tcBorders>
              <w:top w:val="nil"/>
              <w:left w:val="nil"/>
              <w:bottom w:val="single" w:sz="4" w:space="0" w:color="000000"/>
              <w:right w:val="single" w:sz="4" w:space="0" w:color="000000"/>
            </w:tcBorders>
            <w:shd w:val="clear" w:color="FFFFFF" w:fill="FFFFFF"/>
            <w:hideMark/>
          </w:tcPr>
          <w:p w14:paraId="2AB15ED4"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56" w:type="pct"/>
            <w:tcBorders>
              <w:top w:val="nil"/>
              <w:left w:val="nil"/>
              <w:bottom w:val="single" w:sz="4" w:space="0" w:color="000000"/>
              <w:right w:val="single" w:sz="4" w:space="0" w:color="000000"/>
            </w:tcBorders>
            <w:shd w:val="clear" w:color="FFFFFF" w:fill="FFFFFF"/>
            <w:hideMark/>
          </w:tcPr>
          <w:p w14:paraId="718FA7DB"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2F276948"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02" w:type="pct"/>
            <w:tcBorders>
              <w:top w:val="nil"/>
              <w:left w:val="nil"/>
              <w:bottom w:val="single" w:sz="4" w:space="0" w:color="000000"/>
              <w:right w:val="single" w:sz="4" w:space="0" w:color="000000"/>
            </w:tcBorders>
            <w:shd w:val="clear" w:color="FFFFFF" w:fill="FFFFFF"/>
            <w:vAlign w:val="center"/>
            <w:hideMark/>
          </w:tcPr>
          <w:p w14:paraId="15FEB837"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499" w:type="pct"/>
            <w:tcBorders>
              <w:top w:val="nil"/>
              <w:left w:val="nil"/>
              <w:bottom w:val="single" w:sz="4" w:space="0" w:color="000000"/>
              <w:right w:val="single" w:sz="4" w:space="0" w:color="000000"/>
            </w:tcBorders>
            <w:shd w:val="clear" w:color="FFFFFF" w:fill="FFFFFF"/>
            <w:vAlign w:val="center"/>
            <w:hideMark/>
          </w:tcPr>
          <w:p w14:paraId="67EDCD47"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67" w:type="pct"/>
            <w:tcBorders>
              <w:top w:val="nil"/>
              <w:left w:val="nil"/>
              <w:bottom w:val="single" w:sz="4" w:space="0" w:color="000000"/>
              <w:right w:val="single" w:sz="4" w:space="0" w:color="000000"/>
            </w:tcBorders>
            <w:shd w:val="clear" w:color="FFFFFF" w:fill="FFFFFF"/>
            <w:vAlign w:val="center"/>
            <w:hideMark/>
          </w:tcPr>
          <w:p w14:paraId="28E8F895"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67" w:type="pct"/>
            <w:tcBorders>
              <w:top w:val="nil"/>
              <w:left w:val="nil"/>
              <w:bottom w:val="single" w:sz="4" w:space="0" w:color="000000"/>
              <w:right w:val="single" w:sz="4" w:space="0" w:color="000000"/>
            </w:tcBorders>
            <w:shd w:val="clear" w:color="FFFFFF" w:fill="FFFFFF"/>
            <w:vAlign w:val="center"/>
            <w:hideMark/>
          </w:tcPr>
          <w:p w14:paraId="0C95332A"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r>
      <w:tr w:rsidR="002E09B6" w:rsidRPr="002E09B6" w14:paraId="24297B74" w14:textId="77777777" w:rsidTr="002E09B6">
        <w:trPr>
          <w:trHeight w:val="255"/>
        </w:trPr>
        <w:tc>
          <w:tcPr>
            <w:tcW w:w="966" w:type="pct"/>
            <w:vMerge/>
            <w:tcBorders>
              <w:top w:val="nil"/>
              <w:left w:val="single" w:sz="4" w:space="0" w:color="000000"/>
              <w:bottom w:val="single" w:sz="4" w:space="0" w:color="000000"/>
              <w:right w:val="single" w:sz="4" w:space="0" w:color="000000"/>
            </w:tcBorders>
            <w:vAlign w:val="center"/>
            <w:hideMark/>
          </w:tcPr>
          <w:p w14:paraId="58AEC209"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p>
        </w:tc>
        <w:tc>
          <w:tcPr>
            <w:tcW w:w="88" w:type="pct"/>
            <w:tcBorders>
              <w:top w:val="nil"/>
              <w:left w:val="nil"/>
              <w:bottom w:val="single" w:sz="4" w:space="0" w:color="000000"/>
              <w:right w:val="single" w:sz="4" w:space="0" w:color="000000"/>
            </w:tcBorders>
            <w:shd w:val="clear" w:color="FFFFFF" w:fill="FFFFFF"/>
            <w:hideMark/>
          </w:tcPr>
          <w:p w14:paraId="4356B68D"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1</w:t>
            </w:r>
          </w:p>
        </w:tc>
        <w:tc>
          <w:tcPr>
            <w:tcW w:w="1095" w:type="pct"/>
            <w:tcBorders>
              <w:top w:val="nil"/>
              <w:left w:val="nil"/>
              <w:bottom w:val="single" w:sz="4" w:space="0" w:color="000000"/>
              <w:right w:val="single" w:sz="4" w:space="0" w:color="000000"/>
            </w:tcBorders>
            <w:hideMark/>
          </w:tcPr>
          <w:p w14:paraId="70A60C8C"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Quarterly and annual review meetings</w:t>
            </w:r>
          </w:p>
        </w:tc>
        <w:tc>
          <w:tcPr>
            <w:tcW w:w="308" w:type="pct"/>
            <w:tcBorders>
              <w:top w:val="nil"/>
              <w:left w:val="nil"/>
              <w:bottom w:val="single" w:sz="4" w:space="0" w:color="000000"/>
              <w:right w:val="single" w:sz="4" w:space="0" w:color="000000"/>
            </w:tcBorders>
            <w:vAlign w:val="center"/>
            <w:hideMark/>
          </w:tcPr>
          <w:p w14:paraId="2D3C4215"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75700</w:t>
            </w:r>
          </w:p>
        </w:tc>
        <w:tc>
          <w:tcPr>
            <w:tcW w:w="140" w:type="pct"/>
            <w:tcBorders>
              <w:top w:val="nil"/>
              <w:left w:val="nil"/>
              <w:bottom w:val="single" w:sz="4" w:space="0" w:color="000000"/>
              <w:right w:val="single" w:sz="4" w:space="0" w:color="000000"/>
            </w:tcBorders>
            <w:shd w:val="clear" w:color="FFFFFF" w:fill="FFFFFF"/>
            <w:hideMark/>
          </w:tcPr>
          <w:p w14:paraId="7BBFF6C4"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30" w:type="pct"/>
            <w:tcBorders>
              <w:top w:val="nil"/>
              <w:left w:val="nil"/>
              <w:bottom w:val="single" w:sz="4" w:space="0" w:color="000000"/>
              <w:right w:val="single" w:sz="4" w:space="0" w:color="000000"/>
            </w:tcBorders>
            <w:shd w:val="clear" w:color="FFFFFF" w:fill="FFFFFF"/>
            <w:hideMark/>
          </w:tcPr>
          <w:p w14:paraId="0E6AC6ED"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X</w:t>
            </w:r>
          </w:p>
        </w:tc>
        <w:tc>
          <w:tcPr>
            <w:tcW w:w="135" w:type="pct"/>
            <w:tcBorders>
              <w:top w:val="nil"/>
              <w:left w:val="nil"/>
              <w:bottom w:val="single" w:sz="4" w:space="0" w:color="000000"/>
              <w:right w:val="single" w:sz="4" w:space="0" w:color="000000"/>
            </w:tcBorders>
            <w:shd w:val="clear" w:color="FFFFFF" w:fill="FFFFFF"/>
            <w:hideMark/>
          </w:tcPr>
          <w:p w14:paraId="315E202E"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56" w:type="pct"/>
            <w:tcBorders>
              <w:top w:val="nil"/>
              <w:left w:val="nil"/>
              <w:bottom w:val="single" w:sz="4" w:space="0" w:color="000000"/>
              <w:right w:val="single" w:sz="4" w:space="0" w:color="000000"/>
            </w:tcBorders>
            <w:shd w:val="clear" w:color="FFFFFF" w:fill="FFFFFF"/>
            <w:hideMark/>
          </w:tcPr>
          <w:p w14:paraId="03055364"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X</w:t>
            </w:r>
          </w:p>
        </w:tc>
        <w:tc>
          <w:tcPr>
            <w:tcW w:w="445" w:type="pct"/>
            <w:tcBorders>
              <w:top w:val="nil"/>
              <w:left w:val="nil"/>
              <w:bottom w:val="single" w:sz="4" w:space="0" w:color="000000"/>
              <w:right w:val="single" w:sz="4" w:space="0" w:color="000000"/>
            </w:tcBorders>
            <w:shd w:val="clear" w:color="FFFFFF" w:fill="FFFFFF"/>
            <w:vAlign w:val="center"/>
            <w:hideMark/>
          </w:tcPr>
          <w:p w14:paraId="7E5CCC29"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NOU</w:t>
            </w:r>
          </w:p>
        </w:tc>
        <w:tc>
          <w:tcPr>
            <w:tcW w:w="302" w:type="pct"/>
            <w:tcBorders>
              <w:top w:val="nil"/>
              <w:left w:val="nil"/>
              <w:bottom w:val="single" w:sz="4" w:space="0" w:color="000000"/>
              <w:right w:val="single" w:sz="4" w:space="0" w:color="000000"/>
            </w:tcBorders>
            <w:shd w:val="clear" w:color="FFFFFF" w:fill="FFFFFF"/>
            <w:vAlign w:val="center"/>
            <w:hideMark/>
          </w:tcPr>
          <w:p w14:paraId="491140E0"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MLF</w:t>
            </w:r>
          </w:p>
        </w:tc>
        <w:tc>
          <w:tcPr>
            <w:tcW w:w="499" w:type="pct"/>
            <w:tcBorders>
              <w:top w:val="nil"/>
              <w:left w:val="nil"/>
              <w:bottom w:val="single" w:sz="4" w:space="0" w:color="000000"/>
              <w:right w:val="single" w:sz="4" w:space="0" w:color="000000"/>
            </w:tcBorders>
            <w:shd w:val="clear" w:color="FFFFFF" w:fill="FFFFFF"/>
            <w:vAlign w:val="center"/>
            <w:hideMark/>
          </w:tcPr>
          <w:p w14:paraId="35F2A538"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Training/workshop</w:t>
            </w:r>
          </w:p>
        </w:tc>
        <w:tc>
          <w:tcPr>
            <w:tcW w:w="367" w:type="pct"/>
            <w:tcBorders>
              <w:top w:val="nil"/>
              <w:left w:val="nil"/>
              <w:bottom w:val="single" w:sz="4" w:space="0" w:color="000000"/>
              <w:right w:val="single" w:sz="4" w:space="0" w:color="000000"/>
            </w:tcBorders>
            <w:shd w:val="clear" w:color="FFFFFF" w:fill="FFFFFF"/>
            <w:vAlign w:val="center"/>
            <w:hideMark/>
          </w:tcPr>
          <w:p w14:paraId="38B93900"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xml:space="preserve">       1,000.00 </w:t>
            </w:r>
          </w:p>
        </w:tc>
        <w:tc>
          <w:tcPr>
            <w:tcW w:w="367" w:type="pct"/>
            <w:tcBorders>
              <w:top w:val="nil"/>
              <w:left w:val="nil"/>
              <w:bottom w:val="single" w:sz="4" w:space="0" w:color="000000"/>
              <w:right w:val="single" w:sz="4" w:space="0" w:color="000000"/>
            </w:tcBorders>
            <w:shd w:val="clear" w:color="FFFFFF" w:fill="FFFFFF"/>
            <w:vAlign w:val="center"/>
            <w:hideMark/>
          </w:tcPr>
          <w:p w14:paraId="34CC7ECE"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xml:space="preserve">       1,000.00 </w:t>
            </w:r>
          </w:p>
        </w:tc>
      </w:tr>
      <w:tr w:rsidR="002E09B6" w:rsidRPr="002E09B6" w14:paraId="165EDFCB" w14:textId="77777777" w:rsidTr="002E09B6">
        <w:trPr>
          <w:trHeight w:val="255"/>
        </w:trPr>
        <w:tc>
          <w:tcPr>
            <w:tcW w:w="966" w:type="pct"/>
            <w:tcBorders>
              <w:top w:val="nil"/>
              <w:left w:val="single" w:sz="4" w:space="0" w:color="000000"/>
              <w:bottom w:val="single" w:sz="4" w:space="0" w:color="000000"/>
              <w:right w:val="single" w:sz="4" w:space="0" w:color="000000"/>
            </w:tcBorders>
            <w:shd w:val="clear" w:color="FFFFFF" w:fill="FFFFFF"/>
            <w:hideMark/>
          </w:tcPr>
          <w:p w14:paraId="6671EA14"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 </w:t>
            </w:r>
          </w:p>
        </w:tc>
        <w:tc>
          <w:tcPr>
            <w:tcW w:w="88" w:type="pct"/>
            <w:tcBorders>
              <w:top w:val="nil"/>
              <w:left w:val="nil"/>
              <w:bottom w:val="single" w:sz="4" w:space="0" w:color="000000"/>
              <w:right w:val="single" w:sz="4" w:space="0" w:color="000000"/>
            </w:tcBorders>
            <w:shd w:val="clear" w:color="FFFFFF" w:fill="FFFFFF"/>
            <w:hideMark/>
          </w:tcPr>
          <w:p w14:paraId="3B2DF268"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2</w:t>
            </w:r>
          </w:p>
        </w:tc>
        <w:tc>
          <w:tcPr>
            <w:tcW w:w="1095" w:type="pct"/>
            <w:tcBorders>
              <w:top w:val="nil"/>
              <w:left w:val="nil"/>
              <w:bottom w:val="single" w:sz="4" w:space="0" w:color="000000"/>
              <w:right w:val="single" w:sz="4" w:space="0" w:color="000000"/>
            </w:tcBorders>
            <w:hideMark/>
          </w:tcPr>
          <w:p w14:paraId="6CB96442"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Quarterly and annual review meetings</w:t>
            </w:r>
          </w:p>
        </w:tc>
        <w:tc>
          <w:tcPr>
            <w:tcW w:w="308" w:type="pct"/>
            <w:tcBorders>
              <w:top w:val="nil"/>
              <w:left w:val="nil"/>
              <w:bottom w:val="single" w:sz="4" w:space="0" w:color="000000"/>
              <w:right w:val="single" w:sz="4" w:space="0" w:color="000000"/>
            </w:tcBorders>
            <w:vAlign w:val="center"/>
            <w:hideMark/>
          </w:tcPr>
          <w:p w14:paraId="1F482812"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75700</w:t>
            </w:r>
          </w:p>
        </w:tc>
        <w:tc>
          <w:tcPr>
            <w:tcW w:w="140" w:type="pct"/>
            <w:tcBorders>
              <w:top w:val="nil"/>
              <w:left w:val="nil"/>
              <w:bottom w:val="single" w:sz="4" w:space="0" w:color="000000"/>
              <w:right w:val="single" w:sz="4" w:space="0" w:color="000000"/>
            </w:tcBorders>
            <w:shd w:val="clear" w:color="FFFFFF" w:fill="FFFFFF"/>
            <w:hideMark/>
          </w:tcPr>
          <w:p w14:paraId="2E360A30"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30" w:type="pct"/>
            <w:tcBorders>
              <w:top w:val="nil"/>
              <w:left w:val="nil"/>
              <w:bottom w:val="single" w:sz="4" w:space="0" w:color="000000"/>
              <w:right w:val="single" w:sz="4" w:space="0" w:color="000000"/>
            </w:tcBorders>
            <w:shd w:val="clear" w:color="FFFFFF" w:fill="FFFFFF"/>
            <w:hideMark/>
          </w:tcPr>
          <w:p w14:paraId="6A31B07F"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35" w:type="pct"/>
            <w:tcBorders>
              <w:top w:val="nil"/>
              <w:left w:val="nil"/>
              <w:bottom w:val="single" w:sz="4" w:space="0" w:color="000000"/>
              <w:right w:val="single" w:sz="4" w:space="0" w:color="000000"/>
            </w:tcBorders>
            <w:shd w:val="clear" w:color="FFFFFF" w:fill="FFFFFF"/>
            <w:hideMark/>
          </w:tcPr>
          <w:p w14:paraId="0F4CE8E8"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56" w:type="pct"/>
            <w:tcBorders>
              <w:top w:val="nil"/>
              <w:left w:val="nil"/>
              <w:bottom w:val="single" w:sz="4" w:space="0" w:color="000000"/>
              <w:right w:val="single" w:sz="4" w:space="0" w:color="000000"/>
            </w:tcBorders>
            <w:shd w:val="clear" w:color="FFFFFF" w:fill="FFFFFF"/>
            <w:hideMark/>
          </w:tcPr>
          <w:p w14:paraId="148FCDEC"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X</w:t>
            </w:r>
          </w:p>
        </w:tc>
        <w:tc>
          <w:tcPr>
            <w:tcW w:w="445" w:type="pct"/>
            <w:tcBorders>
              <w:top w:val="nil"/>
              <w:left w:val="nil"/>
              <w:bottom w:val="single" w:sz="4" w:space="0" w:color="000000"/>
              <w:right w:val="single" w:sz="4" w:space="0" w:color="000000"/>
            </w:tcBorders>
            <w:shd w:val="clear" w:color="FFFFFF" w:fill="FFFFFF"/>
            <w:vAlign w:val="center"/>
            <w:hideMark/>
          </w:tcPr>
          <w:p w14:paraId="6BDB8EB4"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UNDP</w:t>
            </w:r>
          </w:p>
        </w:tc>
        <w:tc>
          <w:tcPr>
            <w:tcW w:w="302" w:type="pct"/>
            <w:tcBorders>
              <w:top w:val="nil"/>
              <w:left w:val="nil"/>
              <w:bottom w:val="single" w:sz="4" w:space="0" w:color="000000"/>
              <w:right w:val="single" w:sz="4" w:space="0" w:color="000000"/>
            </w:tcBorders>
            <w:shd w:val="clear" w:color="FFFFFF" w:fill="FFFFFF"/>
            <w:vAlign w:val="center"/>
            <w:hideMark/>
          </w:tcPr>
          <w:p w14:paraId="60FE8387"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MLF</w:t>
            </w:r>
          </w:p>
        </w:tc>
        <w:tc>
          <w:tcPr>
            <w:tcW w:w="499" w:type="pct"/>
            <w:tcBorders>
              <w:top w:val="nil"/>
              <w:left w:val="nil"/>
              <w:bottom w:val="single" w:sz="4" w:space="0" w:color="000000"/>
              <w:right w:val="single" w:sz="4" w:space="0" w:color="000000"/>
            </w:tcBorders>
            <w:shd w:val="clear" w:color="FFFFFF" w:fill="FFFFFF"/>
            <w:vAlign w:val="center"/>
            <w:hideMark/>
          </w:tcPr>
          <w:p w14:paraId="1F08C0DD"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Training/workshop</w:t>
            </w:r>
          </w:p>
        </w:tc>
        <w:tc>
          <w:tcPr>
            <w:tcW w:w="367" w:type="pct"/>
            <w:tcBorders>
              <w:top w:val="nil"/>
              <w:left w:val="nil"/>
              <w:bottom w:val="single" w:sz="4" w:space="0" w:color="000000"/>
              <w:right w:val="single" w:sz="4" w:space="0" w:color="000000"/>
            </w:tcBorders>
            <w:shd w:val="clear" w:color="FFFFFF" w:fill="FFFFFF"/>
            <w:vAlign w:val="center"/>
            <w:hideMark/>
          </w:tcPr>
          <w:p w14:paraId="2DDBAA90"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xml:space="preserve">       1,000.00 </w:t>
            </w:r>
          </w:p>
        </w:tc>
        <w:tc>
          <w:tcPr>
            <w:tcW w:w="367" w:type="pct"/>
            <w:tcBorders>
              <w:top w:val="nil"/>
              <w:left w:val="nil"/>
              <w:bottom w:val="single" w:sz="4" w:space="0" w:color="000000"/>
              <w:right w:val="single" w:sz="4" w:space="0" w:color="000000"/>
            </w:tcBorders>
            <w:shd w:val="clear" w:color="FFFFFF" w:fill="FFFFFF"/>
            <w:vAlign w:val="center"/>
            <w:hideMark/>
          </w:tcPr>
          <w:p w14:paraId="5F2B2CB4"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xml:space="preserve">       1,000.00 </w:t>
            </w:r>
          </w:p>
        </w:tc>
      </w:tr>
      <w:tr w:rsidR="002E09B6" w:rsidRPr="002E09B6" w14:paraId="6FEF93EB" w14:textId="77777777" w:rsidTr="002E09B6">
        <w:trPr>
          <w:trHeight w:val="255"/>
        </w:trPr>
        <w:tc>
          <w:tcPr>
            <w:tcW w:w="966" w:type="pct"/>
            <w:tcBorders>
              <w:top w:val="nil"/>
              <w:left w:val="single" w:sz="4" w:space="0" w:color="000000"/>
              <w:bottom w:val="single" w:sz="4" w:space="0" w:color="000000"/>
              <w:right w:val="single" w:sz="4" w:space="0" w:color="000000"/>
            </w:tcBorders>
            <w:hideMark/>
          </w:tcPr>
          <w:p w14:paraId="50BC1F86" w14:textId="77777777" w:rsidR="002E09B6" w:rsidRPr="002E09B6" w:rsidRDefault="002E09B6" w:rsidP="002E09B6">
            <w:pPr>
              <w:spacing w:after="0" w:line="240" w:lineRule="auto"/>
              <w:jc w:val="center"/>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Sub-total</w:t>
            </w:r>
          </w:p>
        </w:tc>
        <w:tc>
          <w:tcPr>
            <w:tcW w:w="88" w:type="pct"/>
            <w:tcBorders>
              <w:top w:val="nil"/>
              <w:left w:val="nil"/>
              <w:bottom w:val="single" w:sz="4" w:space="0" w:color="000000"/>
              <w:right w:val="single" w:sz="4" w:space="0" w:color="000000"/>
            </w:tcBorders>
            <w:hideMark/>
          </w:tcPr>
          <w:p w14:paraId="5C123B09"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095" w:type="pct"/>
            <w:tcBorders>
              <w:top w:val="nil"/>
              <w:left w:val="nil"/>
              <w:bottom w:val="single" w:sz="4" w:space="0" w:color="000000"/>
              <w:right w:val="single" w:sz="4" w:space="0" w:color="000000"/>
            </w:tcBorders>
            <w:hideMark/>
          </w:tcPr>
          <w:p w14:paraId="426F9C90"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08" w:type="pct"/>
            <w:tcBorders>
              <w:top w:val="nil"/>
              <w:left w:val="nil"/>
              <w:bottom w:val="single" w:sz="4" w:space="0" w:color="000000"/>
              <w:right w:val="single" w:sz="4" w:space="0" w:color="000000"/>
            </w:tcBorders>
            <w:vAlign w:val="center"/>
            <w:hideMark/>
          </w:tcPr>
          <w:p w14:paraId="4ED6276A"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40" w:type="pct"/>
            <w:tcBorders>
              <w:top w:val="nil"/>
              <w:left w:val="nil"/>
              <w:bottom w:val="single" w:sz="4" w:space="0" w:color="000000"/>
              <w:right w:val="single" w:sz="4" w:space="0" w:color="000000"/>
            </w:tcBorders>
            <w:hideMark/>
          </w:tcPr>
          <w:p w14:paraId="08B2E4F4"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30" w:type="pct"/>
            <w:tcBorders>
              <w:top w:val="nil"/>
              <w:left w:val="nil"/>
              <w:bottom w:val="single" w:sz="4" w:space="0" w:color="000000"/>
              <w:right w:val="single" w:sz="4" w:space="0" w:color="000000"/>
            </w:tcBorders>
            <w:hideMark/>
          </w:tcPr>
          <w:p w14:paraId="52061724"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35" w:type="pct"/>
            <w:tcBorders>
              <w:top w:val="nil"/>
              <w:left w:val="nil"/>
              <w:bottom w:val="single" w:sz="4" w:space="0" w:color="000000"/>
              <w:right w:val="single" w:sz="4" w:space="0" w:color="000000"/>
            </w:tcBorders>
            <w:hideMark/>
          </w:tcPr>
          <w:p w14:paraId="4EB2AA40"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56" w:type="pct"/>
            <w:tcBorders>
              <w:top w:val="nil"/>
              <w:left w:val="nil"/>
              <w:bottom w:val="single" w:sz="4" w:space="0" w:color="000000"/>
              <w:right w:val="single" w:sz="4" w:space="0" w:color="000000"/>
            </w:tcBorders>
            <w:hideMark/>
          </w:tcPr>
          <w:p w14:paraId="373A41DA"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445" w:type="pct"/>
            <w:tcBorders>
              <w:top w:val="nil"/>
              <w:left w:val="nil"/>
              <w:bottom w:val="single" w:sz="4" w:space="0" w:color="000000"/>
              <w:right w:val="single" w:sz="4" w:space="0" w:color="000000"/>
            </w:tcBorders>
            <w:vAlign w:val="center"/>
            <w:hideMark/>
          </w:tcPr>
          <w:p w14:paraId="50FD118D"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02" w:type="pct"/>
            <w:tcBorders>
              <w:top w:val="nil"/>
              <w:left w:val="nil"/>
              <w:bottom w:val="single" w:sz="4" w:space="0" w:color="000000"/>
              <w:right w:val="single" w:sz="4" w:space="0" w:color="000000"/>
            </w:tcBorders>
            <w:vAlign w:val="center"/>
            <w:hideMark/>
          </w:tcPr>
          <w:p w14:paraId="17972165"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499" w:type="pct"/>
            <w:tcBorders>
              <w:top w:val="nil"/>
              <w:left w:val="nil"/>
              <w:bottom w:val="single" w:sz="4" w:space="0" w:color="000000"/>
              <w:right w:val="single" w:sz="4" w:space="0" w:color="000000"/>
            </w:tcBorders>
            <w:vAlign w:val="center"/>
            <w:hideMark/>
          </w:tcPr>
          <w:p w14:paraId="1BE8EAFF"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67" w:type="pct"/>
            <w:tcBorders>
              <w:top w:val="nil"/>
              <w:left w:val="nil"/>
              <w:bottom w:val="single" w:sz="4" w:space="0" w:color="000000"/>
              <w:right w:val="single" w:sz="4" w:space="0" w:color="000000"/>
            </w:tcBorders>
            <w:vAlign w:val="center"/>
            <w:hideMark/>
          </w:tcPr>
          <w:p w14:paraId="518C012B"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 xml:space="preserve">       2,000.00 </w:t>
            </w:r>
          </w:p>
        </w:tc>
        <w:tc>
          <w:tcPr>
            <w:tcW w:w="367" w:type="pct"/>
            <w:tcBorders>
              <w:top w:val="nil"/>
              <w:left w:val="nil"/>
              <w:bottom w:val="single" w:sz="4" w:space="0" w:color="000000"/>
              <w:right w:val="single" w:sz="4" w:space="0" w:color="000000"/>
            </w:tcBorders>
            <w:vAlign w:val="center"/>
            <w:hideMark/>
          </w:tcPr>
          <w:p w14:paraId="0315A1DF"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 xml:space="preserve">       2,000.00 </w:t>
            </w:r>
          </w:p>
        </w:tc>
      </w:tr>
      <w:tr w:rsidR="002E09B6" w:rsidRPr="002E09B6" w14:paraId="6301A8DB" w14:textId="77777777" w:rsidTr="002E09B6">
        <w:trPr>
          <w:trHeight w:val="255"/>
        </w:trPr>
        <w:tc>
          <w:tcPr>
            <w:tcW w:w="966" w:type="pct"/>
            <w:tcBorders>
              <w:top w:val="nil"/>
              <w:left w:val="single" w:sz="4" w:space="0" w:color="000000"/>
              <w:bottom w:val="single" w:sz="4" w:space="0" w:color="000000"/>
              <w:right w:val="single" w:sz="4" w:space="0" w:color="000000"/>
            </w:tcBorders>
            <w:hideMark/>
          </w:tcPr>
          <w:p w14:paraId="550A8925" w14:textId="77777777" w:rsidR="002E09B6" w:rsidRPr="002E09B6" w:rsidRDefault="002E09B6" w:rsidP="002E09B6">
            <w:pPr>
              <w:spacing w:after="0" w:line="240" w:lineRule="auto"/>
              <w:jc w:val="center"/>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TOTAL</w:t>
            </w:r>
          </w:p>
        </w:tc>
        <w:tc>
          <w:tcPr>
            <w:tcW w:w="88" w:type="pct"/>
            <w:tcBorders>
              <w:top w:val="nil"/>
              <w:left w:val="nil"/>
              <w:bottom w:val="single" w:sz="4" w:space="0" w:color="000000"/>
              <w:right w:val="single" w:sz="4" w:space="0" w:color="000000"/>
            </w:tcBorders>
            <w:hideMark/>
          </w:tcPr>
          <w:p w14:paraId="103C3B11"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095" w:type="pct"/>
            <w:tcBorders>
              <w:top w:val="nil"/>
              <w:left w:val="nil"/>
              <w:bottom w:val="single" w:sz="4" w:space="0" w:color="000000"/>
              <w:right w:val="single" w:sz="4" w:space="0" w:color="000000"/>
            </w:tcBorders>
            <w:hideMark/>
          </w:tcPr>
          <w:p w14:paraId="71B2C0DB" w14:textId="77777777" w:rsidR="002E09B6" w:rsidRPr="002E09B6" w:rsidRDefault="002E09B6" w:rsidP="002E09B6">
            <w:pPr>
              <w:spacing w:after="0" w:line="240" w:lineRule="auto"/>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08" w:type="pct"/>
            <w:tcBorders>
              <w:top w:val="nil"/>
              <w:left w:val="nil"/>
              <w:bottom w:val="single" w:sz="4" w:space="0" w:color="000000"/>
              <w:right w:val="single" w:sz="4" w:space="0" w:color="000000"/>
            </w:tcBorders>
            <w:vAlign w:val="center"/>
            <w:hideMark/>
          </w:tcPr>
          <w:p w14:paraId="719D8EE9"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40" w:type="pct"/>
            <w:tcBorders>
              <w:top w:val="nil"/>
              <w:left w:val="nil"/>
              <w:bottom w:val="single" w:sz="4" w:space="0" w:color="000000"/>
              <w:right w:val="single" w:sz="4" w:space="0" w:color="000000"/>
            </w:tcBorders>
            <w:hideMark/>
          </w:tcPr>
          <w:p w14:paraId="44807C80"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30" w:type="pct"/>
            <w:tcBorders>
              <w:top w:val="nil"/>
              <w:left w:val="nil"/>
              <w:bottom w:val="single" w:sz="4" w:space="0" w:color="000000"/>
              <w:right w:val="single" w:sz="4" w:space="0" w:color="000000"/>
            </w:tcBorders>
            <w:hideMark/>
          </w:tcPr>
          <w:p w14:paraId="10351E15"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35" w:type="pct"/>
            <w:tcBorders>
              <w:top w:val="nil"/>
              <w:left w:val="nil"/>
              <w:bottom w:val="single" w:sz="4" w:space="0" w:color="000000"/>
              <w:right w:val="single" w:sz="4" w:space="0" w:color="000000"/>
            </w:tcBorders>
            <w:hideMark/>
          </w:tcPr>
          <w:p w14:paraId="60CFCE77"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156" w:type="pct"/>
            <w:tcBorders>
              <w:top w:val="nil"/>
              <w:left w:val="nil"/>
              <w:bottom w:val="single" w:sz="4" w:space="0" w:color="000000"/>
              <w:right w:val="single" w:sz="4" w:space="0" w:color="000000"/>
            </w:tcBorders>
            <w:hideMark/>
          </w:tcPr>
          <w:p w14:paraId="1F3085F9"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445" w:type="pct"/>
            <w:tcBorders>
              <w:top w:val="nil"/>
              <w:left w:val="nil"/>
              <w:bottom w:val="single" w:sz="4" w:space="0" w:color="000000"/>
              <w:right w:val="single" w:sz="4" w:space="0" w:color="000000"/>
            </w:tcBorders>
            <w:vAlign w:val="center"/>
            <w:hideMark/>
          </w:tcPr>
          <w:p w14:paraId="239053A9"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02" w:type="pct"/>
            <w:tcBorders>
              <w:top w:val="nil"/>
              <w:left w:val="nil"/>
              <w:bottom w:val="single" w:sz="4" w:space="0" w:color="000000"/>
              <w:right w:val="single" w:sz="4" w:space="0" w:color="000000"/>
            </w:tcBorders>
            <w:vAlign w:val="center"/>
            <w:hideMark/>
          </w:tcPr>
          <w:p w14:paraId="72E648B1"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499" w:type="pct"/>
            <w:tcBorders>
              <w:top w:val="nil"/>
              <w:left w:val="nil"/>
              <w:bottom w:val="single" w:sz="4" w:space="0" w:color="000000"/>
              <w:right w:val="single" w:sz="4" w:space="0" w:color="000000"/>
            </w:tcBorders>
            <w:vAlign w:val="center"/>
            <w:hideMark/>
          </w:tcPr>
          <w:p w14:paraId="077FA764" w14:textId="77777777" w:rsidR="002E09B6" w:rsidRPr="002E09B6" w:rsidRDefault="002E09B6" w:rsidP="002E09B6">
            <w:pPr>
              <w:spacing w:after="0" w:line="240" w:lineRule="auto"/>
              <w:jc w:val="center"/>
              <w:rPr>
                <w:rFonts w:ascii="Arial" w:eastAsia="Times New Roman" w:hAnsi="Arial" w:cs="Arial"/>
                <w:color w:val="000000"/>
                <w:kern w:val="0"/>
                <w:sz w:val="20"/>
                <w:szCs w:val="20"/>
                <w14:ligatures w14:val="none"/>
              </w:rPr>
            </w:pPr>
            <w:r w:rsidRPr="002E09B6">
              <w:rPr>
                <w:rFonts w:ascii="Arial" w:eastAsia="Times New Roman" w:hAnsi="Arial" w:cs="Arial"/>
                <w:color w:val="000000"/>
                <w:kern w:val="0"/>
                <w:sz w:val="20"/>
                <w:szCs w:val="20"/>
                <w14:ligatures w14:val="none"/>
              </w:rPr>
              <w:t> </w:t>
            </w:r>
          </w:p>
        </w:tc>
        <w:tc>
          <w:tcPr>
            <w:tcW w:w="367" w:type="pct"/>
            <w:tcBorders>
              <w:top w:val="nil"/>
              <w:left w:val="nil"/>
              <w:bottom w:val="single" w:sz="4" w:space="0" w:color="000000"/>
              <w:right w:val="single" w:sz="4" w:space="0" w:color="000000"/>
            </w:tcBorders>
            <w:vAlign w:val="center"/>
            <w:hideMark/>
          </w:tcPr>
          <w:p w14:paraId="474548D2"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 xml:space="preserve">      19,000.00 </w:t>
            </w:r>
          </w:p>
        </w:tc>
        <w:tc>
          <w:tcPr>
            <w:tcW w:w="367" w:type="pct"/>
            <w:tcBorders>
              <w:top w:val="nil"/>
              <w:left w:val="nil"/>
              <w:bottom w:val="single" w:sz="4" w:space="0" w:color="000000"/>
              <w:right w:val="single" w:sz="4" w:space="0" w:color="000000"/>
            </w:tcBorders>
            <w:vAlign w:val="center"/>
            <w:hideMark/>
          </w:tcPr>
          <w:p w14:paraId="4807818C" w14:textId="77777777" w:rsidR="002E09B6" w:rsidRPr="002E09B6" w:rsidRDefault="002E09B6" w:rsidP="002E09B6">
            <w:pPr>
              <w:spacing w:after="0" w:line="240" w:lineRule="auto"/>
              <w:rPr>
                <w:rFonts w:ascii="Arial" w:eastAsia="Times New Roman" w:hAnsi="Arial" w:cs="Arial"/>
                <w:b/>
                <w:bCs/>
                <w:color w:val="000000"/>
                <w:kern w:val="0"/>
                <w:sz w:val="20"/>
                <w:szCs w:val="20"/>
                <w14:ligatures w14:val="none"/>
              </w:rPr>
            </w:pPr>
            <w:r w:rsidRPr="002E09B6">
              <w:rPr>
                <w:rFonts w:ascii="Arial" w:eastAsia="Times New Roman" w:hAnsi="Arial" w:cs="Arial"/>
                <w:b/>
                <w:bCs/>
                <w:color w:val="000000"/>
                <w:kern w:val="0"/>
                <w:sz w:val="20"/>
                <w:szCs w:val="20"/>
                <w14:ligatures w14:val="none"/>
              </w:rPr>
              <w:t xml:space="preserve">      19,000.00 </w:t>
            </w:r>
          </w:p>
        </w:tc>
      </w:tr>
    </w:tbl>
    <w:p w14:paraId="65173920" w14:textId="77777777" w:rsidR="002E09B6" w:rsidRPr="00C54943" w:rsidRDefault="002E09B6">
      <w:pPr>
        <w:rPr>
          <w:rFonts w:ascii="Calibri" w:hAnsi="Calibri" w:cs="Calibri"/>
          <w:sz w:val="20"/>
          <w:szCs w:val="20"/>
          <w:lang w:val="en-GB"/>
        </w:rPr>
      </w:pPr>
    </w:p>
    <w:sectPr w:rsidR="002E09B6" w:rsidRPr="00C549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A9D51" w14:textId="77777777" w:rsidR="00E17581" w:rsidRDefault="00E17581" w:rsidP="00892990">
      <w:pPr>
        <w:spacing w:after="0" w:line="240" w:lineRule="auto"/>
      </w:pPr>
      <w:r>
        <w:separator/>
      </w:r>
    </w:p>
  </w:endnote>
  <w:endnote w:type="continuationSeparator" w:id="0">
    <w:p w14:paraId="0D9D5BF2" w14:textId="77777777" w:rsidR="00E17581" w:rsidRDefault="00E17581" w:rsidP="00892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A5CE" w14:textId="77777777" w:rsidR="00892990" w:rsidRDefault="008929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386475"/>
      <w:docPartObj>
        <w:docPartGallery w:val="Page Numbers (Bottom of Page)"/>
        <w:docPartUnique/>
      </w:docPartObj>
    </w:sdtPr>
    <w:sdtEndPr>
      <w:rPr>
        <w:rFonts w:ascii="Calibri" w:hAnsi="Calibri" w:cs="Calibri"/>
        <w:noProof/>
      </w:rPr>
    </w:sdtEndPr>
    <w:sdtContent>
      <w:p w14:paraId="05CBC4EE" w14:textId="0D691A73" w:rsidR="00892990" w:rsidRPr="00892990" w:rsidRDefault="00892990">
        <w:pPr>
          <w:pStyle w:val="Footer"/>
          <w:jc w:val="right"/>
          <w:rPr>
            <w:rFonts w:ascii="Calibri" w:hAnsi="Calibri" w:cs="Calibri"/>
          </w:rPr>
        </w:pPr>
        <w:r w:rsidRPr="00892990">
          <w:rPr>
            <w:rFonts w:ascii="Calibri" w:hAnsi="Calibri" w:cs="Calibri"/>
          </w:rPr>
          <w:fldChar w:fldCharType="begin"/>
        </w:r>
        <w:r w:rsidRPr="00892990">
          <w:rPr>
            <w:rFonts w:ascii="Calibri" w:hAnsi="Calibri" w:cs="Calibri"/>
          </w:rPr>
          <w:instrText xml:space="preserve"> PAGE   \* MERGEFORMAT </w:instrText>
        </w:r>
        <w:r w:rsidRPr="00892990">
          <w:rPr>
            <w:rFonts w:ascii="Calibri" w:hAnsi="Calibri" w:cs="Calibri"/>
          </w:rPr>
          <w:fldChar w:fldCharType="separate"/>
        </w:r>
        <w:r w:rsidRPr="00892990">
          <w:rPr>
            <w:rFonts w:ascii="Calibri" w:hAnsi="Calibri" w:cs="Calibri"/>
            <w:noProof/>
          </w:rPr>
          <w:t>2</w:t>
        </w:r>
        <w:r w:rsidRPr="00892990">
          <w:rPr>
            <w:rFonts w:ascii="Calibri" w:hAnsi="Calibri" w:cs="Calibri"/>
            <w:noProof/>
          </w:rPr>
          <w:fldChar w:fldCharType="end"/>
        </w:r>
      </w:p>
    </w:sdtContent>
  </w:sdt>
  <w:p w14:paraId="0DAB9485" w14:textId="77777777" w:rsidR="00892990" w:rsidRDefault="00892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E2097" w14:textId="77777777" w:rsidR="00E17581" w:rsidRDefault="00E17581" w:rsidP="00892990">
      <w:pPr>
        <w:spacing w:after="0" w:line="240" w:lineRule="auto"/>
      </w:pPr>
      <w:r>
        <w:separator/>
      </w:r>
    </w:p>
  </w:footnote>
  <w:footnote w:type="continuationSeparator" w:id="0">
    <w:p w14:paraId="7F3A6893" w14:textId="77777777" w:rsidR="00E17581" w:rsidRDefault="00E17581" w:rsidP="00892990">
      <w:pPr>
        <w:spacing w:after="0" w:line="240" w:lineRule="auto"/>
      </w:pPr>
      <w:r>
        <w:continuationSeparator/>
      </w:r>
    </w:p>
  </w:footnote>
  <w:footnote w:id="1">
    <w:p w14:paraId="1854958A" w14:textId="77777777" w:rsidR="00892990" w:rsidRPr="00E249F4" w:rsidRDefault="00892990" w:rsidP="00892990">
      <w:pPr>
        <w:pStyle w:val="FootnoteText"/>
        <w:rPr>
          <w:lang w:val="en-US"/>
        </w:rPr>
      </w:pPr>
      <w:r>
        <w:rPr>
          <w:rStyle w:val="FootnoteReference"/>
        </w:rPr>
        <w:footnoteRef/>
      </w:r>
      <w:r>
        <w:t xml:space="preserve"> </w:t>
      </w:r>
      <w:r w:rsidRPr="00223C09">
        <w:rPr>
          <w:i/>
        </w:rPr>
        <w:t>Disclaimer: Data contained in this financial report section is an extract of UNDP financial records. All financial provided above is provisional.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AA66" w14:textId="77777777" w:rsidR="00892990" w:rsidRDefault="00892990" w:rsidP="008B083D">
    <w:pPr>
      <w:pStyle w:val="Header"/>
    </w:pPr>
  </w:p>
  <w:p w14:paraId="48B5E87D" w14:textId="77777777" w:rsidR="00892990" w:rsidRDefault="00892990">
    <w:pPr>
      <w:pStyle w:val="Header"/>
    </w:pPr>
  </w:p>
  <w:p w14:paraId="05A4F0A9" w14:textId="77777777" w:rsidR="00892990" w:rsidRDefault="008929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1E4"/>
    <w:multiLevelType w:val="hybridMultilevel"/>
    <w:tmpl w:val="8DE2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64751"/>
    <w:multiLevelType w:val="hybridMultilevel"/>
    <w:tmpl w:val="A11E85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B53566"/>
    <w:multiLevelType w:val="hybridMultilevel"/>
    <w:tmpl w:val="933A7EEA"/>
    <w:lvl w:ilvl="0" w:tplc="2364F792">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43751"/>
    <w:multiLevelType w:val="multilevel"/>
    <w:tmpl w:val="9DDE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A2629E"/>
    <w:multiLevelType w:val="multilevel"/>
    <w:tmpl w:val="3E628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EC10E0"/>
    <w:multiLevelType w:val="multilevel"/>
    <w:tmpl w:val="228E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0D3D4A"/>
    <w:multiLevelType w:val="hybridMultilevel"/>
    <w:tmpl w:val="7A7A32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45393"/>
    <w:multiLevelType w:val="hybridMultilevel"/>
    <w:tmpl w:val="A8C62BD8"/>
    <w:lvl w:ilvl="0" w:tplc="A440AE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16FCB"/>
    <w:multiLevelType w:val="hybridMultilevel"/>
    <w:tmpl w:val="0902E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8E43D7"/>
    <w:multiLevelType w:val="hybridMultilevel"/>
    <w:tmpl w:val="C832A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B4E33"/>
    <w:multiLevelType w:val="multilevel"/>
    <w:tmpl w:val="5C0A4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1C0219"/>
    <w:multiLevelType w:val="multilevel"/>
    <w:tmpl w:val="5270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DA5431"/>
    <w:multiLevelType w:val="hybridMultilevel"/>
    <w:tmpl w:val="3884A710"/>
    <w:lvl w:ilvl="0" w:tplc="47BC8432">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C718B7"/>
    <w:multiLevelType w:val="hybridMultilevel"/>
    <w:tmpl w:val="CBB44504"/>
    <w:lvl w:ilvl="0" w:tplc="470633C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4004789">
    <w:abstractNumId w:val="1"/>
  </w:num>
  <w:num w:numId="2" w16cid:durableId="314454793">
    <w:abstractNumId w:val="7"/>
  </w:num>
  <w:num w:numId="3" w16cid:durableId="1526554860">
    <w:abstractNumId w:val="6"/>
  </w:num>
  <w:num w:numId="4" w16cid:durableId="263264914">
    <w:abstractNumId w:val="13"/>
  </w:num>
  <w:num w:numId="5" w16cid:durableId="703749583">
    <w:abstractNumId w:val="2"/>
  </w:num>
  <w:num w:numId="6" w16cid:durableId="1374689259">
    <w:abstractNumId w:val="12"/>
  </w:num>
  <w:num w:numId="7" w16cid:durableId="1328481660">
    <w:abstractNumId w:val="0"/>
  </w:num>
  <w:num w:numId="8" w16cid:durableId="1689404562">
    <w:abstractNumId w:val="8"/>
  </w:num>
  <w:num w:numId="9" w16cid:durableId="1936132311">
    <w:abstractNumId w:val="9"/>
  </w:num>
  <w:num w:numId="10" w16cid:durableId="938370239">
    <w:abstractNumId w:val="5"/>
  </w:num>
  <w:num w:numId="11" w16cid:durableId="208346860">
    <w:abstractNumId w:val="3"/>
  </w:num>
  <w:num w:numId="12" w16cid:durableId="922959351">
    <w:abstractNumId w:val="11"/>
  </w:num>
  <w:num w:numId="13" w16cid:durableId="476265145">
    <w:abstractNumId w:val="10"/>
  </w:num>
  <w:num w:numId="14" w16cid:durableId="130083822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990"/>
    <w:rsid w:val="00153662"/>
    <w:rsid w:val="00162979"/>
    <w:rsid w:val="001E1B8D"/>
    <w:rsid w:val="00282969"/>
    <w:rsid w:val="002E09B6"/>
    <w:rsid w:val="00365AB0"/>
    <w:rsid w:val="003964BB"/>
    <w:rsid w:val="003B1D07"/>
    <w:rsid w:val="003D4A3A"/>
    <w:rsid w:val="004917B8"/>
    <w:rsid w:val="00516104"/>
    <w:rsid w:val="00611E98"/>
    <w:rsid w:val="0061538A"/>
    <w:rsid w:val="0062209F"/>
    <w:rsid w:val="006D7A31"/>
    <w:rsid w:val="006E3B25"/>
    <w:rsid w:val="006F6F84"/>
    <w:rsid w:val="007363CE"/>
    <w:rsid w:val="00753DE2"/>
    <w:rsid w:val="00776D88"/>
    <w:rsid w:val="00892990"/>
    <w:rsid w:val="00955869"/>
    <w:rsid w:val="009711E0"/>
    <w:rsid w:val="009C7BAF"/>
    <w:rsid w:val="00A034D2"/>
    <w:rsid w:val="00A45250"/>
    <w:rsid w:val="00A70A4F"/>
    <w:rsid w:val="00AB4277"/>
    <w:rsid w:val="00B27D06"/>
    <w:rsid w:val="00B678FA"/>
    <w:rsid w:val="00BC338F"/>
    <w:rsid w:val="00C42603"/>
    <w:rsid w:val="00C54943"/>
    <w:rsid w:val="00D00784"/>
    <w:rsid w:val="00D40ADB"/>
    <w:rsid w:val="00E17581"/>
    <w:rsid w:val="00EC54AD"/>
    <w:rsid w:val="00EE39A2"/>
    <w:rsid w:val="00EF4255"/>
    <w:rsid w:val="00F46787"/>
    <w:rsid w:val="00F80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B4E10"/>
  <w15:chartTrackingRefBased/>
  <w15:docId w15:val="{E21869EE-142D-47B1-ACE7-4EB293D8D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29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29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29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29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29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29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9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9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9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9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9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9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9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9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9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9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9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990"/>
    <w:rPr>
      <w:rFonts w:eastAsiaTheme="majorEastAsia" w:cstheme="majorBidi"/>
      <w:color w:val="272727" w:themeColor="text1" w:themeTint="D8"/>
    </w:rPr>
  </w:style>
  <w:style w:type="paragraph" w:styleId="Title">
    <w:name w:val="Title"/>
    <w:basedOn w:val="Normal"/>
    <w:next w:val="Normal"/>
    <w:link w:val="TitleChar"/>
    <w:uiPriority w:val="10"/>
    <w:qFormat/>
    <w:rsid w:val="00892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9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9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9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990"/>
    <w:pPr>
      <w:spacing w:before="160"/>
      <w:jc w:val="center"/>
    </w:pPr>
    <w:rPr>
      <w:i/>
      <w:iCs/>
      <w:color w:val="404040" w:themeColor="text1" w:themeTint="BF"/>
    </w:rPr>
  </w:style>
  <w:style w:type="character" w:customStyle="1" w:styleId="QuoteChar">
    <w:name w:val="Quote Char"/>
    <w:basedOn w:val="DefaultParagraphFont"/>
    <w:link w:val="Quote"/>
    <w:uiPriority w:val="29"/>
    <w:rsid w:val="00892990"/>
    <w:rPr>
      <w:i/>
      <w:iCs/>
      <w:color w:val="404040" w:themeColor="text1" w:themeTint="BF"/>
    </w:rPr>
  </w:style>
  <w:style w:type="paragraph" w:styleId="ListParagraph">
    <w:name w:val="List Paragraph"/>
    <w:basedOn w:val="Normal"/>
    <w:link w:val="ListParagraphChar"/>
    <w:uiPriority w:val="34"/>
    <w:qFormat/>
    <w:rsid w:val="00892990"/>
    <w:pPr>
      <w:ind w:left="720"/>
      <w:contextualSpacing/>
    </w:pPr>
  </w:style>
  <w:style w:type="character" w:styleId="IntenseEmphasis">
    <w:name w:val="Intense Emphasis"/>
    <w:basedOn w:val="DefaultParagraphFont"/>
    <w:uiPriority w:val="21"/>
    <w:qFormat/>
    <w:rsid w:val="00892990"/>
    <w:rPr>
      <w:i/>
      <w:iCs/>
      <w:color w:val="0F4761" w:themeColor="accent1" w:themeShade="BF"/>
    </w:rPr>
  </w:style>
  <w:style w:type="paragraph" w:styleId="IntenseQuote">
    <w:name w:val="Intense Quote"/>
    <w:basedOn w:val="Normal"/>
    <w:next w:val="Normal"/>
    <w:link w:val="IntenseQuoteChar"/>
    <w:uiPriority w:val="30"/>
    <w:qFormat/>
    <w:rsid w:val="008929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990"/>
    <w:rPr>
      <w:i/>
      <w:iCs/>
      <w:color w:val="0F4761" w:themeColor="accent1" w:themeShade="BF"/>
    </w:rPr>
  </w:style>
  <w:style w:type="character" w:styleId="IntenseReference">
    <w:name w:val="Intense Reference"/>
    <w:basedOn w:val="DefaultParagraphFont"/>
    <w:uiPriority w:val="32"/>
    <w:qFormat/>
    <w:rsid w:val="00892990"/>
    <w:rPr>
      <w:b/>
      <w:bCs/>
      <w:smallCaps/>
      <w:color w:val="0F4761" w:themeColor="accent1" w:themeShade="BF"/>
      <w:spacing w:val="5"/>
    </w:rPr>
  </w:style>
  <w:style w:type="numbering" w:customStyle="1" w:styleId="NoList1">
    <w:name w:val="No List1"/>
    <w:next w:val="NoList"/>
    <w:uiPriority w:val="99"/>
    <w:semiHidden/>
    <w:unhideWhenUsed/>
    <w:rsid w:val="00892990"/>
  </w:style>
  <w:style w:type="table" w:styleId="TableGrid">
    <w:name w:val="Table Grid"/>
    <w:basedOn w:val="TableNormal"/>
    <w:uiPriority w:val="59"/>
    <w:rsid w:val="00892990"/>
    <w:pPr>
      <w:spacing w:after="0" w:line="240" w:lineRule="auto"/>
    </w:pPr>
    <w:rPr>
      <w:rFonts w:eastAsia="MS Mincho"/>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2990"/>
    <w:rPr>
      <w:color w:val="0000FF"/>
      <w:u w:val="single"/>
    </w:rPr>
  </w:style>
  <w:style w:type="character" w:customStyle="1" w:styleId="ListParagraphChar">
    <w:name w:val="List Paragraph Char"/>
    <w:link w:val="ListParagraph"/>
    <w:uiPriority w:val="34"/>
    <w:locked/>
    <w:rsid w:val="00892990"/>
  </w:style>
  <w:style w:type="paragraph" w:styleId="FootnoteText">
    <w:name w:val="footnote text"/>
    <w:basedOn w:val="Normal"/>
    <w:link w:val="FootnoteTextChar"/>
    <w:unhideWhenUsed/>
    <w:rsid w:val="00892990"/>
    <w:pPr>
      <w:spacing w:after="0" w:line="240" w:lineRule="auto"/>
    </w:pPr>
    <w:rPr>
      <w:rFonts w:eastAsia="MS Mincho"/>
      <w:kern w:val="0"/>
      <w:sz w:val="20"/>
      <w:szCs w:val="20"/>
      <w:lang w:val="en-GB" w:eastAsia="en-GB"/>
      <w14:ligatures w14:val="none"/>
    </w:rPr>
  </w:style>
  <w:style w:type="character" w:customStyle="1" w:styleId="FootnoteTextChar">
    <w:name w:val="Footnote Text Char"/>
    <w:basedOn w:val="DefaultParagraphFont"/>
    <w:link w:val="FootnoteText"/>
    <w:rsid w:val="00892990"/>
    <w:rPr>
      <w:rFonts w:eastAsia="MS Mincho"/>
      <w:kern w:val="0"/>
      <w:sz w:val="20"/>
      <w:szCs w:val="20"/>
      <w:lang w:val="en-GB" w:eastAsia="en-GB"/>
      <w14:ligatures w14:val="none"/>
    </w:rPr>
  </w:style>
  <w:style w:type="character" w:styleId="FootnoteReference">
    <w:name w:val="footnote reference"/>
    <w:basedOn w:val="DefaultParagraphFont"/>
    <w:semiHidden/>
    <w:unhideWhenUsed/>
    <w:rsid w:val="00892990"/>
    <w:rPr>
      <w:vertAlign w:val="superscript"/>
    </w:rPr>
  </w:style>
  <w:style w:type="paragraph" w:styleId="Header">
    <w:name w:val="header"/>
    <w:basedOn w:val="Normal"/>
    <w:link w:val="HeaderChar"/>
    <w:unhideWhenUsed/>
    <w:rsid w:val="00892990"/>
    <w:pPr>
      <w:tabs>
        <w:tab w:val="center" w:pos="4680"/>
        <w:tab w:val="right" w:pos="9360"/>
      </w:tabs>
      <w:spacing w:after="0" w:line="240" w:lineRule="auto"/>
    </w:pPr>
    <w:rPr>
      <w:rFonts w:eastAsia="MS Mincho"/>
      <w:kern w:val="0"/>
      <w:sz w:val="22"/>
      <w:szCs w:val="22"/>
      <w:lang w:val="en-GB" w:eastAsia="en-GB"/>
      <w14:ligatures w14:val="none"/>
    </w:rPr>
  </w:style>
  <w:style w:type="character" w:customStyle="1" w:styleId="HeaderChar">
    <w:name w:val="Header Char"/>
    <w:basedOn w:val="DefaultParagraphFont"/>
    <w:link w:val="Header"/>
    <w:rsid w:val="00892990"/>
    <w:rPr>
      <w:rFonts w:eastAsia="MS Mincho"/>
      <w:kern w:val="0"/>
      <w:sz w:val="22"/>
      <w:szCs w:val="22"/>
      <w:lang w:val="en-GB" w:eastAsia="en-GB"/>
      <w14:ligatures w14:val="none"/>
    </w:rPr>
  </w:style>
  <w:style w:type="paragraph" w:styleId="Footer">
    <w:name w:val="footer"/>
    <w:basedOn w:val="Normal"/>
    <w:link w:val="FooterChar"/>
    <w:uiPriority w:val="99"/>
    <w:unhideWhenUsed/>
    <w:rsid w:val="00892990"/>
    <w:pPr>
      <w:tabs>
        <w:tab w:val="center" w:pos="4680"/>
        <w:tab w:val="right" w:pos="9360"/>
      </w:tabs>
      <w:spacing w:after="0" w:line="240" w:lineRule="auto"/>
    </w:pPr>
    <w:rPr>
      <w:rFonts w:eastAsia="MS Mincho"/>
      <w:kern w:val="0"/>
      <w:sz w:val="22"/>
      <w:szCs w:val="22"/>
      <w:lang w:val="en-GB" w:eastAsia="en-GB"/>
      <w14:ligatures w14:val="none"/>
    </w:rPr>
  </w:style>
  <w:style w:type="character" w:customStyle="1" w:styleId="FooterChar">
    <w:name w:val="Footer Char"/>
    <w:basedOn w:val="DefaultParagraphFont"/>
    <w:link w:val="Footer"/>
    <w:uiPriority w:val="99"/>
    <w:rsid w:val="00892990"/>
    <w:rPr>
      <w:rFonts w:eastAsia="MS Mincho"/>
      <w:kern w:val="0"/>
      <w:sz w:val="22"/>
      <w:szCs w:val="22"/>
      <w:lang w:val="en-GB" w:eastAsia="en-GB"/>
      <w14:ligatures w14:val="none"/>
    </w:rPr>
  </w:style>
  <w:style w:type="paragraph" w:styleId="BalloonText">
    <w:name w:val="Balloon Text"/>
    <w:basedOn w:val="Normal"/>
    <w:link w:val="BalloonTextChar"/>
    <w:uiPriority w:val="99"/>
    <w:semiHidden/>
    <w:unhideWhenUsed/>
    <w:rsid w:val="00892990"/>
    <w:pPr>
      <w:spacing w:after="0" w:line="240" w:lineRule="auto"/>
    </w:pPr>
    <w:rPr>
      <w:rFonts w:ascii="Tahoma" w:eastAsia="MS Mincho" w:hAnsi="Tahoma" w:cs="Tahoma"/>
      <w:kern w:val="0"/>
      <w:sz w:val="16"/>
      <w:szCs w:val="16"/>
      <w:lang w:val="en-GB" w:eastAsia="en-GB"/>
      <w14:ligatures w14:val="none"/>
    </w:rPr>
  </w:style>
  <w:style w:type="character" w:customStyle="1" w:styleId="BalloonTextChar">
    <w:name w:val="Balloon Text Char"/>
    <w:basedOn w:val="DefaultParagraphFont"/>
    <w:link w:val="BalloonText"/>
    <w:uiPriority w:val="99"/>
    <w:semiHidden/>
    <w:rsid w:val="00892990"/>
    <w:rPr>
      <w:rFonts w:ascii="Tahoma" w:eastAsia="MS Mincho" w:hAnsi="Tahoma" w:cs="Tahoma"/>
      <w:kern w:val="0"/>
      <w:sz w:val="16"/>
      <w:szCs w:val="16"/>
      <w:lang w:val="en-GB" w:eastAsia="en-GB"/>
      <w14:ligatures w14:val="none"/>
    </w:rPr>
  </w:style>
  <w:style w:type="paragraph" w:styleId="BodyTextIndent">
    <w:name w:val="Body Text Indent"/>
    <w:basedOn w:val="Normal"/>
    <w:link w:val="BodyTextIndentChar"/>
    <w:rsid w:val="00892990"/>
    <w:pPr>
      <w:tabs>
        <w:tab w:val="left" w:pos="-720"/>
      </w:tabs>
      <w:suppressAutoHyphens/>
      <w:spacing w:after="0" w:line="240" w:lineRule="auto"/>
      <w:ind w:left="1440"/>
    </w:pPr>
    <w:rPr>
      <w:rFonts w:ascii="Times New Roman" w:eastAsia="Times New Roman" w:hAnsi="Times New Roman" w:cs="Times New Roman"/>
      <w:spacing w:val="-2"/>
      <w:kern w:val="0"/>
      <w:szCs w:val="20"/>
      <w14:ligatures w14:val="none"/>
    </w:rPr>
  </w:style>
  <w:style w:type="character" w:customStyle="1" w:styleId="BodyTextIndentChar">
    <w:name w:val="Body Text Indent Char"/>
    <w:basedOn w:val="DefaultParagraphFont"/>
    <w:link w:val="BodyTextIndent"/>
    <w:rsid w:val="00892990"/>
    <w:rPr>
      <w:rFonts w:ascii="Times New Roman" w:eastAsia="Times New Roman" w:hAnsi="Times New Roman" w:cs="Times New Roman"/>
      <w:spacing w:val="-2"/>
      <w:kern w:val="0"/>
      <w:szCs w:val="20"/>
      <w14:ligatures w14:val="none"/>
    </w:rPr>
  </w:style>
  <w:style w:type="paragraph" w:styleId="BodyTextIndent2">
    <w:name w:val="Body Text Indent 2"/>
    <w:basedOn w:val="Normal"/>
    <w:link w:val="BodyTextIndent2Char"/>
    <w:rsid w:val="00892990"/>
    <w:pPr>
      <w:spacing w:after="0" w:line="240" w:lineRule="auto"/>
      <w:ind w:left="720"/>
    </w:pPr>
    <w:rPr>
      <w:rFonts w:ascii="Times New Roman" w:eastAsia="Times New Roman" w:hAnsi="Times New Roman" w:cs="Times New Roman"/>
      <w:kern w:val="0"/>
      <w:szCs w:val="20"/>
      <w14:ligatures w14:val="none"/>
    </w:rPr>
  </w:style>
  <w:style w:type="character" w:customStyle="1" w:styleId="BodyTextIndent2Char">
    <w:name w:val="Body Text Indent 2 Char"/>
    <w:basedOn w:val="DefaultParagraphFont"/>
    <w:link w:val="BodyTextIndent2"/>
    <w:rsid w:val="00892990"/>
    <w:rPr>
      <w:rFonts w:ascii="Times New Roman" w:eastAsia="Times New Roman" w:hAnsi="Times New Roman" w:cs="Times New Roman"/>
      <w:kern w:val="0"/>
      <w:szCs w:val="20"/>
      <w14:ligatures w14:val="none"/>
    </w:rPr>
  </w:style>
  <w:style w:type="paragraph" w:styleId="NormalWeb">
    <w:name w:val="Normal (Web)"/>
    <w:basedOn w:val="Normal"/>
    <w:uiPriority w:val="99"/>
    <w:semiHidden/>
    <w:unhideWhenUsed/>
    <w:rsid w:val="00892990"/>
    <w:pPr>
      <w:spacing w:before="100" w:beforeAutospacing="1" w:after="100" w:afterAutospacing="1" w:line="240" w:lineRule="auto"/>
    </w:pPr>
    <w:rPr>
      <w:rFonts w:ascii="Times New Roman" w:eastAsia="Times New Roman" w:hAnsi="Times New Roman" w:cs="Times New Roman"/>
      <w:kern w:val="0"/>
      <w:lang w:eastAsia="ja-JP"/>
      <w14:ligatures w14:val="none"/>
    </w:rPr>
  </w:style>
  <w:style w:type="character" w:styleId="CommentReference">
    <w:name w:val="annotation reference"/>
    <w:basedOn w:val="DefaultParagraphFont"/>
    <w:unhideWhenUsed/>
    <w:rsid w:val="00892990"/>
    <w:rPr>
      <w:sz w:val="16"/>
      <w:szCs w:val="16"/>
    </w:rPr>
  </w:style>
  <w:style w:type="paragraph" w:styleId="CommentText">
    <w:name w:val="annotation text"/>
    <w:basedOn w:val="Normal"/>
    <w:link w:val="CommentTextChar"/>
    <w:unhideWhenUsed/>
    <w:rsid w:val="00892990"/>
    <w:pPr>
      <w:spacing w:after="200" w:line="240" w:lineRule="auto"/>
    </w:pPr>
    <w:rPr>
      <w:rFonts w:eastAsia="MS Mincho"/>
      <w:kern w:val="0"/>
      <w:sz w:val="20"/>
      <w:szCs w:val="20"/>
      <w:lang w:val="en-GB" w:eastAsia="en-GB"/>
      <w14:ligatures w14:val="none"/>
    </w:rPr>
  </w:style>
  <w:style w:type="character" w:customStyle="1" w:styleId="CommentTextChar">
    <w:name w:val="Comment Text Char"/>
    <w:basedOn w:val="DefaultParagraphFont"/>
    <w:link w:val="CommentText"/>
    <w:rsid w:val="00892990"/>
    <w:rPr>
      <w:rFonts w:eastAsia="MS Mincho"/>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892990"/>
    <w:rPr>
      <w:b/>
      <w:bCs/>
    </w:rPr>
  </w:style>
  <w:style w:type="character" w:customStyle="1" w:styleId="CommentSubjectChar">
    <w:name w:val="Comment Subject Char"/>
    <w:basedOn w:val="CommentTextChar"/>
    <w:link w:val="CommentSubject"/>
    <w:uiPriority w:val="99"/>
    <w:semiHidden/>
    <w:rsid w:val="00892990"/>
    <w:rPr>
      <w:rFonts w:eastAsia="MS Mincho"/>
      <w:b/>
      <w:bCs/>
      <w:kern w:val="0"/>
      <w:sz w:val="20"/>
      <w:szCs w:val="20"/>
      <w:lang w:val="en-GB" w:eastAsia="en-GB"/>
      <w14:ligatures w14:val="none"/>
    </w:rPr>
  </w:style>
  <w:style w:type="character" w:customStyle="1" w:styleId="FollowedHyperlink1">
    <w:name w:val="FollowedHyperlink1"/>
    <w:basedOn w:val="DefaultParagraphFont"/>
    <w:uiPriority w:val="99"/>
    <w:semiHidden/>
    <w:unhideWhenUsed/>
    <w:rsid w:val="00892990"/>
    <w:rPr>
      <w:color w:val="800080"/>
      <w:u w:val="single"/>
    </w:rPr>
  </w:style>
  <w:style w:type="paragraph" w:styleId="Revision">
    <w:name w:val="Revision"/>
    <w:hidden/>
    <w:uiPriority w:val="99"/>
    <w:semiHidden/>
    <w:rsid w:val="00892990"/>
    <w:pPr>
      <w:spacing w:after="0" w:line="240" w:lineRule="auto"/>
    </w:pPr>
    <w:rPr>
      <w:rFonts w:eastAsia="MS Mincho"/>
      <w:kern w:val="0"/>
      <w:sz w:val="22"/>
      <w:szCs w:val="22"/>
      <w:lang w:val="en-GB" w:eastAsia="en-GB"/>
      <w14:ligatures w14:val="none"/>
    </w:rPr>
  </w:style>
  <w:style w:type="paragraph" w:styleId="BodyText">
    <w:name w:val="Body Text"/>
    <w:basedOn w:val="Normal"/>
    <w:link w:val="BodyTextChar"/>
    <w:rsid w:val="00892990"/>
    <w:pPr>
      <w:spacing w:after="120" w:line="240" w:lineRule="auto"/>
      <w:jc w:val="both"/>
    </w:pPr>
    <w:rPr>
      <w:rFonts w:ascii="Myriad Pro" w:eastAsia="MS Mincho" w:hAnsi="Myriad Pro" w:cs="Times New Roman"/>
      <w:kern w:val="0"/>
      <w:sz w:val="22"/>
      <w14:ligatures w14:val="none"/>
    </w:rPr>
  </w:style>
  <w:style w:type="character" w:customStyle="1" w:styleId="BodyTextChar">
    <w:name w:val="Body Text Char"/>
    <w:basedOn w:val="DefaultParagraphFont"/>
    <w:link w:val="BodyText"/>
    <w:rsid w:val="00892990"/>
    <w:rPr>
      <w:rFonts w:ascii="Myriad Pro" w:eastAsia="MS Mincho" w:hAnsi="Myriad Pro" w:cs="Times New Roman"/>
      <w:kern w:val="0"/>
      <w:sz w:val="22"/>
      <w14:ligatures w14:val="none"/>
    </w:rPr>
  </w:style>
  <w:style w:type="paragraph" w:styleId="TOC1">
    <w:name w:val="toc 1"/>
    <w:basedOn w:val="Normal"/>
    <w:next w:val="Normal"/>
    <w:autoRedefine/>
    <w:uiPriority w:val="39"/>
    <w:qFormat/>
    <w:rsid w:val="00892990"/>
    <w:pPr>
      <w:tabs>
        <w:tab w:val="left" w:pos="450"/>
        <w:tab w:val="right" w:leader="dot" w:pos="9736"/>
      </w:tabs>
      <w:spacing w:before="120" w:after="120" w:line="240" w:lineRule="auto"/>
    </w:pPr>
    <w:rPr>
      <w:rFonts w:ascii="Calibri" w:eastAsia="MS Mincho" w:hAnsi="Calibri" w:cs="Times New Roman"/>
      <w:b/>
      <w:bCs/>
      <w:caps/>
      <w:kern w:val="0"/>
      <w:sz w:val="20"/>
      <w:szCs w:val="20"/>
      <w14:ligatures w14:val="none"/>
    </w:rPr>
  </w:style>
  <w:style w:type="paragraph" w:styleId="TOC2">
    <w:name w:val="toc 2"/>
    <w:basedOn w:val="Normal"/>
    <w:next w:val="Normal"/>
    <w:autoRedefine/>
    <w:uiPriority w:val="39"/>
    <w:qFormat/>
    <w:rsid w:val="00892990"/>
    <w:pPr>
      <w:spacing w:after="0" w:line="240" w:lineRule="auto"/>
      <w:ind w:left="220"/>
    </w:pPr>
    <w:rPr>
      <w:rFonts w:ascii="Calibri" w:eastAsia="MS Mincho" w:hAnsi="Calibri" w:cs="Times New Roman"/>
      <w:smallCaps/>
      <w:kern w:val="0"/>
      <w:sz w:val="20"/>
      <w:szCs w:val="20"/>
      <w14:ligatures w14:val="none"/>
    </w:rPr>
  </w:style>
  <w:style w:type="paragraph" w:styleId="BodyText3">
    <w:name w:val="Body Text 3"/>
    <w:basedOn w:val="Normal"/>
    <w:link w:val="BodyText3Char"/>
    <w:rsid w:val="00892990"/>
    <w:pPr>
      <w:spacing w:after="120" w:line="240" w:lineRule="auto"/>
      <w:jc w:val="both"/>
    </w:pPr>
    <w:rPr>
      <w:rFonts w:ascii="Myriad Pro" w:eastAsia="MS Mincho" w:hAnsi="Myriad Pro" w:cs="Times New Roman"/>
      <w:kern w:val="0"/>
      <w:sz w:val="16"/>
      <w:szCs w:val="16"/>
      <w14:ligatures w14:val="none"/>
    </w:rPr>
  </w:style>
  <w:style w:type="character" w:customStyle="1" w:styleId="BodyText3Char">
    <w:name w:val="Body Text 3 Char"/>
    <w:basedOn w:val="DefaultParagraphFont"/>
    <w:link w:val="BodyText3"/>
    <w:rsid w:val="00892990"/>
    <w:rPr>
      <w:rFonts w:ascii="Myriad Pro" w:eastAsia="MS Mincho" w:hAnsi="Myriad Pro" w:cs="Times New Roman"/>
      <w:kern w:val="0"/>
      <w:sz w:val="16"/>
      <w:szCs w:val="16"/>
      <w14:ligatures w14:val="none"/>
    </w:rPr>
  </w:style>
  <w:style w:type="paragraph" w:customStyle="1" w:styleId="Default">
    <w:name w:val="Default"/>
    <w:rsid w:val="00892990"/>
    <w:pPr>
      <w:autoSpaceDE w:val="0"/>
      <w:autoSpaceDN w:val="0"/>
      <w:adjustRightInd w:val="0"/>
      <w:spacing w:after="0" w:line="240" w:lineRule="auto"/>
    </w:pPr>
    <w:rPr>
      <w:rFonts w:ascii="Calibri" w:eastAsia="MS Mincho" w:hAnsi="Calibri" w:cs="Calibri"/>
      <w:color w:val="000000"/>
      <w:kern w:val="0"/>
      <w:lang w:eastAsia="ja-JP"/>
      <w14:ligatures w14:val="none"/>
    </w:rPr>
  </w:style>
  <w:style w:type="character" w:styleId="UnresolvedMention">
    <w:name w:val="Unresolved Mention"/>
    <w:basedOn w:val="DefaultParagraphFont"/>
    <w:uiPriority w:val="99"/>
    <w:semiHidden/>
    <w:unhideWhenUsed/>
    <w:rsid w:val="00892990"/>
    <w:rPr>
      <w:color w:val="605E5C"/>
      <w:shd w:val="clear" w:color="auto" w:fill="E1DFDD"/>
    </w:rPr>
  </w:style>
  <w:style w:type="paragraph" w:styleId="TOCHeading">
    <w:name w:val="TOC Heading"/>
    <w:basedOn w:val="Heading1"/>
    <w:next w:val="Normal"/>
    <w:uiPriority w:val="39"/>
    <w:unhideWhenUsed/>
    <w:qFormat/>
    <w:rsid w:val="00892990"/>
    <w:pPr>
      <w:spacing w:before="240" w:after="0" w:line="259" w:lineRule="auto"/>
      <w:outlineLvl w:val="9"/>
    </w:pPr>
    <w:rPr>
      <w:kern w:val="0"/>
      <w:sz w:val="32"/>
      <w:szCs w:val="32"/>
      <w14:ligatures w14:val="none"/>
    </w:rPr>
  </w:style>
  <w:style w:type="paragraph" w:styleId="EndnoteText">
    <w:name w:val="endnote text"/>
    <w:basedOn w:val="Normal"/>
    <w:link w:val="EndnoteTextChar"/>
    <w:uiPriority w:val="99"/>
    <w:semiHidden/>
    <w:unhideWhenUsed/>
    <w:rsid w:val="00892990"/>
    <w:pPr>
      <w:spacing w:after="0" w:line="240" w:lineRule="auto"/>
    </w:pPr>
    <w:rPr>
      <w:rFonts w:eastAsia="MS Mincho"/>
      <w:kern w:val="0"/>
      <w:sz w:val="20"/>
      <w:szCs w:val="20"/>
      <w:lang w:val="en-GB" w:eastAsia="en-GB"/>
      <w14:ligatures w14:val="none"/>
    </w:rPr>
  </w:style>
  <w:style w:type="character" w:customStyle="1" w:styleId="EndnoteTextChar">
    <w:name w:val="Endnote Text Char"/>
    <w:basedOn w:val="DefaultParagraphFont"/>
    <w:link w:val="EndnoteText"/>
    <w:uiPriority w:val="99"/>
    <w:semiHidden/>
    <w:rsid w:val="00892990"/>
    <w:rPr>
      <w:rFonts w:eastAsia="MS Mincho"/>
      <w:kern w:val="0"/>
      <w:sz w:val="20"/>
      <w:szCs w:val="20"/>
      <w:lang w:val="en-GB" w:eastAsia="en-GB"/>
      <w14:ligatures w14:val="none"/>
    </w:rPr>
  </w:style>
  <w:style w:type="character" w:styleId="EndnoteReference">
    <w:name w:val="endnote reference"/>
    <w:basedOn w:val="DefaultParagraphFont"/>
    <w:uiPriority w:val="99"/>
    <w:semiHidden/>
    <w:unhideWhenUsed/>
    <w:rsid w:val="00892990"/>
    <w:rPr>
      <w:vertAlign w:val="superscript"/>
    </w:rPr>
  </w:style>
  <w:style w:type="character" w:styleId="FollowedHyperlink">
    <w:name w:val="FollowedHyperlink"/>
    <w:basedOn w:val="DefaultParagraphFont"/>
    <w:uiPriority w:val="99"/>
    <w:semiHidden/>
    <w:unhideWhenUsed/>
    <w:rsid w:val="0089299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mailto:kunzang.wangmo@undp.or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B0394 - Bhutan - Thimphu</OfficeCountry>
    <DocumentStatus xmlns="d9cf0e28-81d2-4dc7-8b10-820d80ed680d">Reviewed</DocumentStatus>
    <DocCoverageEndDate xmlns="d9cf0e28-81d2-4dc7-8b10-820d80ed680d">2025-12-31T05:00:00+00:00</DocCoverageEndDate>
    <TaxCatchAll xmlns="e91d5986-7c29-4ed1-8a54-b8fb378ed474" xsi:nil="true"/>
    <EventDate xmlns="d9cf0e28-81d2-4dc7-8b10-820d80ed680d" xsi:nil="true"/>
    <ProjectDocumentTypes xmlns="d9cf0e28-81d2-4dc7-8b10-820d80ed680d" xsi:nil="true"/>
    <FunctionalArea xmlns="d9cf0e28-81d2-4dc7-8b10-820d80ed680d" xsi:nil="true"/>
    <FileNameDescription xmlns="d9cf0e28-81d2-4dc7-8b10-820d80ed680d">Progress Report </FileNameDescription>
    <ProjectNumber xmlns="d9cf0e28-81d2-4dc7-8b10-820d80ed680d">00065284</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UNDP-BTN</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2025-01-01T05:00:00+00:00</DocCoverageStartDate>
    <FileClassificationMode xmlns="d9cf0e28-81d2-4dc7-8b10-820d80ed680d">Public</FileClassificationMode>
    <OutputNumber xmlns="d9cf0e28-81d2-4dc7-8b10-820d80ed680d">00081856</OutputNumber>
  </documentManagement>
</p:properties>
</file>

<file path=customXml/itemProps1.xml><?xml version="1.0" encoding="utf-8"?>
<ds:datastoreItem xmlns:ds="http://schemas.openxmlformats.org/officeDocument/2006/customXml" ds:itemID="{7E57780F-74A6-4D98-B656-F43B5041A32D}"/>
</file>

<file path=customXml/itemProps2.xml><?xml version="1.0" encoding="utf-8"?>
<ds:datastoreItem xmlns:ds="http://schemas.openxmlformats.org/officeDocument/2006/customXml" ds:itemID="{34010EFD-214B-40DA-A45C-3FC3B2C13CEF}"/>
</file>

<file path=customXml/itemProps3.xml><?xml version="1.0" encoding="utf-8"?>
<ds:datastoreItem xmlns:ds="http://schemas.openxmlformats.org/officeDocument/2006/customXml" ds:itemID="{6B0E208F-2721-4A09-9FAF-EB9044698D29}"/>
</file>

<file path=docProps/app.xml><?xml version="1.0" encoding="utf-8"?>
<Properties xmlns="http://schemas.openxmlformats.org/officeDocument/2006/extended-properties" xmlns:vt="http://schemas.openxmlformats.org/officeDocument/2006/docPropsVTypes">
  <Template>Normal</Template>
  <TotalTime>67</TotalTime>
  <Pages>14</Pages>
  <Words>3876</Words>
  <Characters>22095</Characters>
  <Application>Microsoft Office Word</Application>
  <DocSecurity>0</DocSecurity>
  <Lines>184</Lines>
  <Paragraphs>51</Paragraphs>
  <ScaleCrop>false</ScaleCrop>
  <Company/>
  <LinksUpToDate>false</LinksUpToDate>
  <CharactersWithSpaces>25920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 </dc:title>
  <dc:subject/>
  <dc:creator>Emiliana Zhivkova</dc:creator>
  <cp:keywords/>
  <dc:description/>
  <cp:lastModifiedBy>Tshedrup Dorji</cp:lastModifiedBy>
  <cp:revision>38</cp:revision>
  <dcterms:created xsi:type="dcterms:W3CDTF">2026-06-09T04:15:00Z</dcterms:created>
  <dcterms:modified xsi:type="dcterms:W3CDTF">2026-06-09T05:53:00Z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